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86E" w:rsidRPr="00CB45B7" w:rsidRDefault="00DE086E" w:rsidP="00E4166B">
      <w:pPr>
        <w:rPr>
          <w:b/>
          <w:sz w:val="28"/>
          <w:szCs w:val="28"/>
        </w:rPr>
      </w:pPr>
    </w:p>
    <w:p w:rsidR="00E4166B" w:rsidRPr="008F4667" w:rsidRDefault="00DE086E" w:rsidP="00E4166B">
      <w:pPr>
        <w:rPr>
          <w:b/>
          <w:color w:val="FF0000"/>
          <w:sz w:val="28"/>
          <w:szCs w:val="28"/>
        </w:rPr>
      </w:pPr>
      <w:bookmarkStart w:id="0" w:name="_GoBack"/>
      <w:r w:rsidRPr="008F4667">
        <w:rPr>
          <w:b/>
          <w:color w:val="FF0000"/>
          <w:sz w:val="28"/>
          <w:szCs w:val="28"/>
        </w:rPr>
        <w:t xml:space="preserve">Radon Dose Conversion Factors </w:t>
      </w:r>
    </w:p>
    <w:bookmarkEnd w:id="0"/>
    <w:p w:rsidR="00E4166B" w:rsidRPr="00CB45B7" w:rsidRDefault="00E4166B" w:rsidP="00E4166B">
      <w:pPr>
        <w:rPr>
          <w:b/>
          <w:szCs w:val="24"/>
        </w:rPr>
      </w:pPr>
      <w:r>
        <w:rPr>
          <w:b/>
          <w:szCs w:val="24"/>
        </w:rPr>
        <w:t>In 2017, the ICRP (INTERNATIONAL COMMISSION ON RADIOLOGICAL PROTECTION) has published new dose conversion factors in the ICRP Publication 137, 2017, Occupational Intakes of Radionuclides: Part 3. Ann. ICRP 46(3/4).</w:t>
      </w:r>
    </w:p>
    <w:p w:rsidR="00DE086E" w:rsidRPr="00CB45B7" w:rsidRDefault="00E4166B">
      <w:r>
        <w:t xml:space="preserve">In the Czech Republic, the following dose conversion factors are used in relation to the radon activity concentration (RAC) assuming equilibrium of the factor F 0.4 to the equivalent radon activity concentration (ERAC);  </w:t>
      </w:r>
    </w:p>
    <w:p w:rsidR="00DE086E" w:rsidRPr="00CB45B7" w:rsidRDefault="00D3221C">
      <w:r>
        <w:rPr>
          <w:b/>
        </w:rPr>
        <w:t>2.52</w:t>
      </w:r>
      <w:r>
        <w:t xml:space="preserve"> </w:t>
      </w:r>
      <w:proofErr w:type="spellStart"/>
      <w:r>
        <w:t>nSv</w:t>
      </w:r>
      <w:proofErr w:type="spellEnd"/>
      <w:proofErr w:type="gramStart"/>
      <w:r>
        <w:t>/(</w:t>
      </w:r>
      <w:proofErr w:type="gramEnd"/>
      <w:r>
        <w:t xml:space="preserve">Bq.m-3.h) for homes, and </w:t>
      </w:r>
    </w:p>
    <w:p w:rsidR="00DE086E" w:rsidRPr="00CB45B7" w:rsidRDefault="00E4166B">
      <w:proofErr w:type="gramStart"/>
      <w:r>
        <w:rPr>
          <w:b/>
        </w:rPr>
        <w:t xml:space="preserve">3.12 </w:t>
      </w:r>
      <w:r>
        <w:t xml:space="preserve"> </w:t>
      </w:r>
      <w:proofErr w:type="spellStart"/>
      <w:r>
        <w:t>nSv</w:t>
      </w:r>
      <w:proofErr w:type="spellEnd"/>
      <w:proofErr w:type="gramEnd"/>
      <w:r>
        <w:t xml:space="preserve">/(Bq.m-3.h) for workplaces. </w:t>
      </w:r>
    </w:p>
    <w:p w:rsidR="00110F62" w:rsidRPr="00CB45B7" w:rsidRDefault="00DE086E">
      <w:r>
        <w:t>These conversion factors were derived from epidemiological studies using a “dose conversion convention” representing the coefficient of the lifetime risk of fatal lung cancer per radon exposure of 2.83x10-4/WLM (ICRP 65, 1993) and the total detriment of the member of the population expressed as the risk coefficient related to the effective dose of 7.3x10-2/</w:t>
      </w:r>
      <w:proofErr w:type="spellStart"/>
      <w:r>
        <w:t>Sv</w:t>
      </w:r>
      <w:proofErr w:type="spellEnd"/>
      <w:r>
        <w:t xml:space="preserve"> and for workers of 5.6x10-2/</w:t>
      </w:r>
      <w:proofErr w:type="spellStart"/>
      <w:r>
        <w:t>Sv</w:t>
      </w:r>
      <w:proofErr w:type="spellEnd"/>
      <w:r>
        <w:t xml:space="preserve"> (</w:t>
      </w:r>
      <w:proofErr w:type="spellStart"/>
      <w:r>
        <w:t>ICRP</w:t>
      </w:r>
      <w:proofErr w:type="spellEnd"/>
      <w:r>
        <w:t xml:space="preserve"> 60, 1991).</w:t>
      </w:r>
    </w:p>
    <w:p w:rsidR="008A5B51" w:rsidRPr="00CB45B7" w:rsidRDefault="008A5B51" w:rsidP="008A5B51">
      <w:r>
        <w:t>The dose conversion factors shall apply for the:</w:t>
      </w:r>
    </w:p>
    <w:p w:rsidR="008A5B51" w:rsidRPr="00CB45B7" w:rsidRDefault="008A5B51" w:rsidP="008A5B51">
      <w:pPr>
        <w:pStyle w:val="Odstavecseseznamem"/>
        <w:numPr>
          <w:ilvl w:val="0"/>
          <w:numId w:val="13"/>
        </w:numPr>
        <w:tabs>
          <w:tab w:val="clear" w:pos="1134"/>
        </w:tabs>
        <w:spacing w:after="160" w:line="259" w:lineRule="auto"/>
        <w:contextualSpacing/>
      </w:pPr>
      <w:r>
        <w:t xml:space="preserve">Determination of effective doses for workers at workplaces with increased exposure to </w:t>
      </w:r>
      <w:proofErr w:type="spellStart"/>
      <w:r>
        <w:t>radion</w:t>
      </w:r>
      <w:proofErr w:type="spellEnd"/>
      <w:r>
        <w:t xml:space="preserve"> from natural radiation sources (planned exposure situations) or with increased exposure to radiation from radon (current exposure situations), wherein the reference level is set for an effective dose at 6 </w:t>
      </w:r>
      <w:proofErr w:type="spellStart"/>
      <w:r>
        <w:t>mSv</w:t>
      </w:r>
      <w:proofErr w:type="spellEnd"/>
      <w:r>
        <w:t>/year.</w:t>
      </w:r>
    </w:p>
    <w:p w:rsidR="008A5B51" w:rsidRPr="00CB45B7" w:rsidRDefault="008A5B51" w:rsidP="008A5B51">
      <w:pPr>
        <w:pStyle w:val="Odstavecseseznamem"/>
        <w:numPr>
          <w:ilvl w:val="0"/>
          <w:numId w:val="13"/>
        </w:numPr>
        <w:tabs>
          <w:tab w:val="clear" w:pos="1134"/>
        </w:tabs>
        <w:spacing w:after="160" w:line="259" w:lineRule="auto"/>
        <w:contextualSpacing/>
      </w:pPr>
      <w:r>
        <w:t>Comparison of the level of radiation from various sources of ionising radiation (artificial sources, medical exposure, natural sources, etc.).</w:t>
      </w:r>
    </w:p>
    <w:p w:rsidR="008A5B51" w:rsidRPr="00CB45B7" w:rsidRDefault="008A5B51" w:rsidP="008A5B51">
      <w:pPr>
        <w:pStyle w:val="Odstavecseseznamem"/>
        <w:numPr>
          <w:ilvl w:val="0"/>
          <w:numId w:val="13"/>
        </w:numPr>
        <w:tabs>
          <w:tab w:val="clear" w:pos="1134"/>
        </w:tabs>
        <w:spacing w:after="160" w:line="259" w:lineRule="auto"/>
        <w:contextualSpacing/>
      </w:pPr>
      <w:r>
        <w:t>Combination of various sources of ionising radiation and various exposure pathways for the optimization of radiation protection.</w:t>
      </w:r>
    </w:p>
    <w:p w:rsidR="00DE086E" w:rsidRPr="00CB45B7" w:rsidRDefault="00DE086E" w:rsidP="00A62213">
      <w:r>
        <w:t>Given that the fact whether and how the radon conversion factors will change has not yet been clear at the time of creation of new legislation in the Czech Republic, a strategic decision was taken not to state them explicitly in legislation, but implement their change in strategic documents of the Office, the so-called “Recommendations”. These recommendations are the methodologies that describe the measurement procedures, which will generate reliable and comparable basis for the assessment of exposure to natural radiation sources and the calculation of effective dose, particularly where the determined reference levels of the RAC are exceeded, and ambient dose equivalent rate.</w:t>
      </w:r>
    </w:p>
    <w:p w:rsidR="00A62213" w:rsidRPr="00CB45B7" w:rsidRDefault="00E008A3" w:rsidP="00A62213">
      <w:r>
        <w:t xml:space="preserve">The reference level for </w:t>
      </w:r>
      <w:r w:rsidR="00067AEB">
        <w:t>RAC</w:t>
      </w:r>
      <w:r>
        <w:t xml:space="preserve"> in buildings (COUNCIL DIRECTIVE 2013/59/EURATOM) should not exceed 300 </w:t>
      </w:r>
      <w:proofErr w:type="spellStart"/>
      <w:r>
        <w:t>Bq</w:t>
      </w:r>
      <w:proofErr w:type="spellEnd"/>
      <w:r>
        <w:t>/m</w:t>
      </w:r>
      <w:r>
        <w:rPr>
          <w:vertAlign w:val="superscript"/>
        </w:rPr>
        <w:t>3</w:t>
      </w:r>
      <w:r>
        <w:t xml:space="preserve"> in the European Union countries.  This value already reflected the planned changes and, therefore, the value of reference level for workplaces was reduced to the current value of 300 </w:t>
      </w:r>
      <w:proofErr w:type="spellStart"/>
      <w:r>
        <w:t>Bq</w:t>
      </w:r>
      <w:proofErr w:type="spellEnd"/>
      <w:r>
        <w:t>/m</w:t>
      </w:r>
      <w:r>
        <w:rPr>
          <w:vertAlign w:val="superscript"/>
        </w:rPr>
        <w:t>3</w:t>
      </w:r>
      <w:r>
        <w:t>.</w:t>
      </w:r>
    </w:p>
    <w:p w:rsidR="00463E40" w:rsidRPr="00CB45B7" w:rsidRDefault="00463E40" w:rsidP="00A62213">
      <w:r>
        <w:lastRenderedPageBreak/>
        <w:t xml:space="preserve">The Czech Republic’s legislation has determined the value of reference level of the RAC for all buildings of 300 </w:t>
      </w:r>
      <w:proofErr w:type="spellStart"/>
      <w:r>
        <w:t>Bq</w:t>
      </w:r>
      <w:proofErr w:type="spellEnd"/>
      <w:r>
        <w:t>/m</w:t>
      </w:r>
      <w:r>
        <w:rPr>
          <w:vertAlign w:val="superscript"/>
        </w:rPr>
        <w:t>3</w:t>
      </w:r>
      <w:r>
        <w:t xml:space="preserve">. </w:t>
      </w:r>
    </w:p>
    <w:p w:rsidR="00463E40" w:rsidRPr="00CB45B7" w:rsidRDefault="00463E40" w:rsidP="00463E40">
      <w:r>
        <w:t>The reference level is the level of exposure or risk of exposure in an emergency exposure situation or in an existing exposure situation, the exceeding of which is undesirable; reducing the level of exposure or risk of exposure to the reference level cannot be held to constitute an optimisation of radiation protection.</w:t>
      </w:r>
    </w:p>
    <w:p w:rsidR="00DE086E" w:rsidRPr="00CB45B7" w:rsidRDefault="00E4166B" w:rsidP="00DE086E">
      <w:pPr>
        <w:rPr>
          <w:b/>
        </w:rPr>
      </w:pPr>
      <w:r>
        <w:t xml:space="preserve">The State Office for Nuclear Safety, after the publication of new dose conversion factors in ICRP Recommendation 137 (December 2017), began preparations for their implementation into existing procedures regulating exposure to radon. However, due to the fact that discussions of new factors, their size and the justification for changes are ongoing at the international level, </w:t>
      </w:r>
      <w:r>
        <w:rPr>
          <w:b/>
        </w:rPr>
        <w:t>the current dose conversion factors will continue to be used for calculating the effective dose from radon</w:t>
      </w:r>
      <w:r>
        <w:t xml:space="preserve"> until a clear recommendation will be issued by the European Commission.</w:t>
      </w:r>
    </w:p>
    <w:p w:rsidR="008C1E88" w:rsidRPr="00CB45B7" w:rsidRDefault="00E4166B" w:rsidP="00E4166B">
      <w:r>
        <w:t xml:space="preserve">Table 1 shows the appropriate dose conversion factors and the corresponding annual effective dose for the standard time spent at the workplace of 2000 hours and at home of 7000 hours for the selected values of RAC at workplaces and in homes. The disequilibrium factor of 0.4 corresponding to the current aerosol composition of the atmosphere in the indoor environment of buildings is assumed. </w:t>
      </w:r>
    </w:p>
    <w:p w:rsidR="00E4166B" w:rsidRPr="00CB45B7" w:rsidRDefault="00E4166B" w:rsidP="00E4166B">
      <w:r>
        <w:t>For comparison, the second table also shows calculations using the dose conversion factor from ICRP Publication 137 (2017).</w:t>
      </w:r>
    </w:p>
    <w:p w:rsidR="000E149B" w:rsidRPr="00CB45B7" w:rsidRDefault="000E149B" w:rsidP="00E4166B">
      <w:pPr>
        <w:rPr>
          <w:b/>
        </w:rPr>
      </w:pPr>
    </w:p>
    <w:p w:rsidR="000E149B" w:rsidRPr="00CB45B7" w:rsidRDefault="00E4166B" w:rsidP="00E4166B">
      <w:r>
        <w:rPr>
          <w:b/>
        </w:rPr>
        <w:t>Table 1</w:t>
      </w:r>
      <w:r>
        <w:t xml:space="preserve"> </w:t>
      </w:r>
    </w:p>
    <w:p w:rsidR="00E4166B" w:rsidRPr="00CB45B7" w:rsidRDefault="00E4166B" w:rsidP="00E4166B">
      <w:pPr>
        <w:rPr>
          <w:b/>
        </w:rPr>
      </w:pPr>
      <w:r>
        <w:rPr>
          <w:b/>
        </w:rPr>
        <w:t>Dose conversion factors</w:t>
      </w:r>
    </w:p>
    <w:p w:rsidR="00E4166B" w:rsidRPr="00CB45B7" w:rsidRDefault="00E4166B" w:rsidP="00E4166B">
      <w:r>
        <w:t>Effective dose = radon activity concentration (RAC) × time × dose conversion factor</w:t>
      </w:r>
    </w:p>
    <w:p w:rsidR="000E149B" w:rsidRPr="00CB45B7" w:rsidRDefault="000E149B" w:rsidP="00E4166B">
      <w:pPr>
        <w:rPr>
          <w:b/>
        </w:rPr>
      </w:pPr>
    </w:p>
    <w:p w:rsidR="00E4166B" w:rsidRPr="00CB45B7" w:rsidRDefault="00E4166B" w:rsidP="00E4166B">
      <w:pPr>
        <w:rPr>
          <w:b/>
        </w:rPr>
      </w:pPr>
      <w:r>
        <w:rPr>
          <w:b/>
        </w:rPr>
        <w:t xml:space="preserve">Current conversion factors for </w:t>
      </w:r>
      <w:r>
        <w:rPr>
          <w:b/>
          <w:u w:val="single"/>
        </w:rPr>
        <w:t>RAC</w:t>
      </w:r>
    </w:p>
    <w:tbl>
      <w:tblPr>
        <w:tblStyle w:val="Mkatabulky"/>
        <w:tblW w:w="9062" w:type="dxa"/>
        <w:tblLook w:val="0420" w:firstRow="1" w:lastRow="0" w:firstColumn="0" w:lastColumn="0" w:noHBand="0" w:noVBand="1"/>
      </w:tblPr>
      <w:tblGrid>
        <w:gridCol w:w="2945"/>
        <w:gridCol w:w="1247"/>
        <w:gridCol w:w="1899"/>
        <w:gridCol w:w="1145"/>
        <w:gridCol w:w="1826"/>
      </w:tblGrid>
      <w:tr w:rsidR="00E4166B" w:rsidRPr="00CB45B7" w:rsidTr="002D4F9B">
        <w:trPr>
          <w:trHeight w:val="1118"/>
        </w:trPr>
        <w:tc>
          <w:tcPr>
            <w:tcW w:w="2945" w:type="dxa"/>
            <w:shd w:val="clear" w:color="auto" w:fill="DDD9C3" w:themeFill="background2" w:themeFillShade="E6"/>
            <w:hideMark/>
          </w:tcPr>
          <w:p w:rsidR="00E4166B" w:rsidRPr="00CB45B7" w:rsidRDefault="00E4166B" w:rsidP="003549A2">
            <w:r>
              <w:t>Type of exposure</w:t>
            </w:r>
          </w:p>
        </w:tc>
        <w:tc>
          <w:tcPr>
            <w:tcW w:w="1247" w:type="dxa"/>
            <w:shd w:val="clear" w:color="auto" w:fill="DDD9C3" w:themeFill="background2" w:themeFillShade="E6"/>
            <w:hideMark/>
          </w:tcPr>
          <w:p w:rsidR="00E4166B" w:rsidRPr="00CB45B7" w:rsidRDefault="00E4166B" w:rsidP="003549A2">
            <w:r>
              <w:t>RAC (Bq.m-3)</w:t>
            </w:r>
          </w:p>
        </w:tc>
        <w:tc>
          <w:tcPr>
            <w:tcW w:w="1899" w:type="dxa"/>
            <w:shd w:val="clear" w:color="auto" w:fill="DDD9C3" w:themeFill="background2" w:themeFillShade="E6"/>
            <w:hideMark/>
          </w:tcPr>
          <w:p w:rsidR="00E4166B" w:rsidRPr="00CB45B7" w:rsidRDefault="00E4166B" w:rsidP="003549A2">
            <w:r>
              <w:t>Dose conversion factor</w:t>
            </w:r>
          </w:p>
          <w:p w:rsidR="00E4166B" w:rsidRPr="00CB45B7" w:rsidRDefault="00E4166B" w:rsidP="003549A2">
            <w:r>
              <w:t>(</w:t>
            </w:r>
            <w:proofErr w:type="spellStart"/>
            <w:r>
              <w:t>nSv</w:t>
            </w:r>
            <w:proofErr w:type="spellEnd"/>
            <w:r>
              <w:t>/Bq.h.m</w:t>
            </w:r>
            <w:r>
              <w:rPr>
                <w:vertAlign w:val="superscript"/>
              </w:rPr>
              <w:t>-3</w:t>
            </w:r>
            <w:r>
              <w:t>)</w:t>
            </w:r>
          </w:p>
        </w:tc>
        <w:tc>
          <w:tcPr>
            <w:tcW w:w="1145" w:type="dxa"/>
            <w:shd w:val="clear" w:color="auto" w:fill="DDD9C3" w:themeFill="background2" w:themeFillShade="E6"/>
            <w:hideMark/>
          </w:tcPr>
          <w:p w:rsidR="00E4166B" w:rsidRPr="00CB45B7" w:rsidRDefault="00E4166B" w:rsidP="003549A2">
            <w:r>
              <w:t>Time (hr)</w:t>
            </w:r>
          </w:p>
        </w:tc>
        <w:tc>
          <w:tcPr>
            <w:tcW w:w="1826" w:type="dxa"/>
            <w:shd w:val="clear" w:color="auto" w:fill="DDD9C3" w:themeFill="background2" w:themeFillShade="E6"/>
            <w:hideMark/>
          </w:tcPr>
          <w:p w:rsidR="00E4166B" w:rsidRPr="00CB45B7" w:rsidRDefault="00E4166B" w:rsidP="003549A2">
            <w:r>
              <w:t>Annual effective dose</w:t>
            </w:r>
          </w:p>
          <w:p w:rsidR="00E4166B" w:rsidRPr="00CB45B7" w:rsidRDefault="00E4166B" w:rsidP="003549A2">
            <w:r>
              <w:t>(</w:t>
            </w:r>
            <w:proofErr w:type="spellStart"/>
            <w:r>
              <w:t>mSv</w:t>
            </w:r>
            <w:proofErr w:type="spellEnd"/>
            <w:r>
              <w:t>)</w:t>
            </w:r>
          </w:p>
        </w:tc>
      </w:tr>
      <w:tr w:rsidR="00E4166B" w:rsidRPr="00CB45B7" w:rsidTr="002D4F9B">
        <w:trPr>
          <w:trHeight w:val="584"/>
        </w:trPr>
        <w:tc>
          <w:tcPr>
            <w:tcW w:w="2945" w:type="dxa"/>
          </w:tcPr>
          <w:p w:rsidR="00E4166B" w:rsidRPr="00CB45B7" w:rsidRDefault="00E4166B" w:rsidP="003549A2">
            <w:r>
              <w:t>Homes</w:t>
            </w:r>
          </w:p>
        </w:tc>
        <w:tc>
          <w:tcPr>
            <w:tcW w:w="1247" w:type="dxa"/>
          </w:tcPr>
          <w:p w:rsidR="00E4166B" w:rsidRPr="00CB45B7" w:rsidRDefault="00E4166B" w:rsidP="003549A2">
            <w:r>
              <w:t>300</w:t>
            </w:r>
          </w:p>
        </w:tc>
        <w:tc>
          <w:tcPr>
            <w:tcW w:w="1899" w:type="dxa"/>
          </w:tcPr>
          <w:p w:rsidR="00E4166B" w:rsidRPr="00CB45B7" w:rsidRDefault="00E4166B" w:rsidP="003549A2">
            <w:r>
              <w:t>2.52</w:t>
            </w:r>
          </w:p>
        </w:tc>
        <w:tc>
          <w:tcPr>
            <w:tcW w:w="1145" w:type="dxa"/>
          </w:tcPr>
          <w:p w:rsidR="00E4166B" w:rsidRPr="00CB45B7" w:rsidRDefault="00E4166B" w:rsidP="003549A2">
            <w:r>
              <w:t>7000</w:t>
            </w:r>
          </w:p>
        </w:tc>
        <w:tc>
          <w:tcPr>
            <w:tcW w:w="1826" w:type="dxa"/>
          </w:tcPr>
          <w:p w:rsidR="00E4166B" w:rsidRPr="00CB45B7" w:rsidRDefault="00E4166B" w:rsidP="003549A2">
            <w:r>
              <w:t xml:space="preserve">5.29 (5.3 </w:t>
            </w:r>
            <w:proofErr w:type="spellStart"/>
            <w:r>
              <w:t>mSv</w:t>
            </w:r>
            <w:proofErr w:type="spellEnd"/>
            <w:r>
              <w:t>)</w:t>
            </w:r>
          </w:p>
        </w:tc>
      </w:tr>
      <w:tr w:rsidR="00E4166B" w:rsidRPr="00CB45B7" w:rsidTr="002D4F9B">
        <w:trPr>
          <w:trHeight w:val="584"/>
        </w:trPr>
        <w:tc>
          <w:tcPr>
            <w:tcW w:w="2945" w:type="dxa"/>
            <w:hideMark/>
          </w:tcPr>
          <w:p w:rsidR="00E4166B" w:rsidRPr="00CB45B7" w:rsidRDefault="00E4166B" w:rsidP="003549A2">
            <w:r>
              <w:t>Homes*</w:t>
            </w:r>
          </w:p>
        </w:tc>
        <w:tc>
          <w:tcPr>
            <w:tcW w:w="1247" w:type="dxa"/>
            <w:hideMark/>
          </w:tcPr>
          <w:p w:rsidR="00E4166B" w:rsidRPr="00CB45B7" w:rsidRDefault="00E4166B" w:rsidP="003549A2">
            <w:r>
              <w:t>118</w:t>
            </w:r>
          </w:p>
        </w:tc>
        <w:tc>
          <w:tcPr>
            <w:tcW w:w="1899" w:type="dxa"/>
            <w:hideMark/>
          </w:tcPr>
          <w:p w:rsidR="00E4166B" w:rsidRPr="00CB45B7" w:rsidRDefault="00E4166B" w:rsidP="003549A2">
            <w:r>
              <w:t>2.52</w:t>
            </w:r>
          </w:p>
        </w:tc>
        <w:tc>
          <w:tcPr>
            <w:tcW w:w="1145" w:type="dxa"/>
            <w:hideMark/>
          </w:tcPr>
          <w:p w:rsidR="00E4166B" w:rsidRPr="00CB45B7" w:rsidRDefault="00E4166B" w:rsidP="003549A2">
            <w:r>
              <w:t>7000</w:t>
            </w:r>
          </w:p>
        </w:tc>
        <w:tc>
          <w:tcPr>
            <w:tcW w:w="1826" w:type="dxa"/>
            <w:hideMark/>
          </w:tcPr>
          <w:p w:rsidR="00E4166B" w:rsidRPr="00CB45B7" w:rsidRDefault="00E4166B" w:rsidP="003549A2">
            <w:r>
              <w:t xml:space="preserve">2.08 (2 </w:t>
            </w:r>
            <w:proofErr w:type="spellStart"/>
            <w:r>
              <w:t>mSv</w:t>
            </w:r>
            <w:proofErr w:type="spellEnd"/>
            <w:r>
              <w:t>)</w:t>
            </w:r>
          </w:p>
        </w:tc>
      </w:tr>
      <w:tr w:rsidR="00E4166B" w:rsidRPr="00CB45B7" w:rsidTr="002D4F9B">
        <w:trPr>
          <w:trHeight w:val="584"/>
        </w:trPr>
        <w:tc>
          <w:tcPr>
            <w:tcW w:w="2945" w:type="dxa"/>
          </w:tcPr>
          <w:p w:rsidR="00E4166B" w:rsidRPr="00CB45B7" w:rsidRDefault="00E4166B" w:rsidP="003549A2">
            <w:r>
              <w:t>Workplaces</w:t>
            </w:r>
          </w:p>
        </w:tc>
        <w:tc>
          <w:tcPr>
            <w:tcW w:w="1247" w:type="dxa"/>
          </w:tcPr>
          <w:p w:rsidR="00E4166B" w:rsidRPr="00CB45B7" w:rsidRDefault="00E4166B" w:rsidP="003549A2">
            <w:r>
              <w:t>1000</w:t>
            </w:r>
          </w:p>
        </w:tc>
        <w:tc>
          <w:tcPr>
            <w:tcW w:w="1899" w:type="dxa"/>
          </w:tcPr>
          <w:p w:rsidR="00E4166B" w:rsidRPr="00CB45B7" w:rsidRDefault="00E4166B" w:rsidP="003549A2">
            <w:r>
              <w:t>3.12</w:t>
            </w:r>
          </w:p>
        </w:tc>
        <w:tc>
          <w:tcPr>
            <w:tcW w:w="1145" w:type="dxa"/>
          </w:tcPr>
          <w:p w:rsidR="00E4166B" w:rsidRPr="00CB45B7" w:rsidRDefault="00E4166B" w:rsidP="003549A2">
            <w:r>
              <w:t>2000</w:t>
            </w:r>
          </w:p>
        </w:tc>
        <w:tc>
          <w:tcPr>
            <w:tcW w:w="1826" w:type="dxa"/>
          </w:tcPr>
          <w:p w:rsidR="00E4166B" w:rsidRPr="00CB45B7" w:rsidRDefault="00E4166B" w:rsidP="003549A2">
            <w:r>
              <w:t xml:space="preserve">6.2 (6 </w:t>
            </w:r>
            <w:proofErr w:type="spellStart"/>
            <w:r>
              <w:t>mSv</w:t>
            </w:r>
            <w:proofErr w:type="spellEnd"/>
            <w:r>
              <w:t>)</w:t>
            </w:r>
          </w:p>
        </w:tc>
      </w:tr>
      <w:tr w:rsidR="00E4166B" w:rsidRPr="00CB45B7" w:rsidTr="002D4F9B">
        <w:trPr>
          <w:trHeight w:val="584"/>
        </w:trPr>
        <w:tc>
          <w:tcPr>
            <w:tcW w:w="2945" w:type="dxa"/>
            <w:hideMark/>
          </w:tcPr>
          <w:p w:rsidR="00E4166B" w:rsidRPr="00CB45B7" w:rsidRDefault="00E4166B" w:rsidP="003549A2">
            <w:r>
              <w:t>Workplaces</w:t>
            </w:r>
          </w:p>
        </w:tc>
        <w:tc>
          <w:tcPr>
            <w:tcW w:w="1247" w:type="dxa"/>
            <w:hideMark/>
          </w:tcPr>
          <w:p w:rsidR="00E4166B" w:rsidRPr="00CB45B7" w:rsidRDefault="00E4166B" w:rsidP="003549A2">
            <w:r>
              <w:t>300</w:t>
            </w:r>
          </w:p>
        </w:tc>
        <w:tc>
          <w:tcPr>
            <w:tcW w:w="1899" w:type="dxa"/>
            <w:hideMark/>
          </w:tcPr>
          <w:p w:rsidR="00E4166B" w:rsidRPr="00CB45B7" w:rsidRDefault="00E4166B" w:rsidP="003549A2">
            <w:r>
              <w:t>3.12</w:t>
            </w:r>
          </w:p>
        </w:tc>
        <w:tc>
          <w:tcPr>
            <w:tcW w:w="1145" w:type="dxa"/>
            <w:hideMark/>
          </w:tcPr>
          <w:p w:rsidR="00E4166B" w:rsidRPr="00CB45B7" w:rsidRDefault="00E4166B" w:rsidP="003549A2">
            <w:r>
              <w:t>2000</w:t>
            </w:r>
          </w:p>
        </w:tc>
        <w:tc>
          <w:tcPr>
            <w:tcW w:w="1826" w:type="dxa"/>
            <w:hideMark/>
          </w:tcPr>
          <w:p w:rsidR="00E4166B" w:rsidRPr="00CB45B7" w:rsidRDefault="00E4166B" w:rsidP="003549A2">
            <w:r>
              <w:t xml:space="preserve">1.87 (2 </w:t>
            </w:r>
            <w:proofErr w:type="spellStart"/>
            <w:r>
              <w:t>mSv</w:t>
            </w:r>
            <w:proofErr w:type="spellEnd"/>
            <w:r>
              <w:t>)</w:t>
            </w:r>
          </w:p>
        </w:tc>
      </w:tr>
    </w:tbl>
    <w:p w:rsidR="00E4166B" w:rsidRPr="00CB45B7" w:rsidRDefault="00E4166B" w:rsidP="00E4166B"/>
    <w:p w:rsidR="00E4166B" w:rsidRPr="00CB45B7" w:rsidRDefault="00E4166B" w:rsidP="00E4166B">
      <w:pPr>
        <w:rPr>
          <w:b/>
        </w:rPr>
      </w:pPr>
      <w:r>
        <w:rPr>
          <w:b/>
        </w:rPr>
        <w:lastRenderedPageBreak/>
        <w:t>New conversion factors according to ICRP 137, 2017</w:t>
      </w:r>
    </w:p>
    <w:tbl>
      <w:tblPr>
        <w:tblStyle w:val="Mkatabulky"/>
        <w:tblW w:w="9062" w:type="dxa"/>
        <w:tblLook w:val="0420" w:firstRow="1" w:lastRow="0" w:firstColumn="0" w:lastColumn="0" w:noHBand="0" w:noVBand="1"/>
      </w:tblPr>
      <w:tblGrid>
        <w:gridCol w:w="2945"/>
        <w:gridCol w:w="1247"/>
        <w:gridCol w:w="1899"/>
        <w:gridCol w:w="1145"/>
        <w:gridCol w:w="1826"/>
      </w:tblGrid>
      <w:tr w:rsidR="00E4166B" w:rsidRPr="00CB45B7" w:rsidTr="002D4F9B">
        <w:trPr>
          <w:trHeight w:val="584"/>
        </w:trPr>
        <w:tc>
          <w:tcPr>
            <w:tcW w:w="2945" w:type="dxa"/>
            <w:shd w:val="clear" w:color="auto" w:fill="DDD9C3" w:themeFill="background2" w:themeFillShade="E6"/>
            <w:hideMark/>
          </w:tcPr>
          <w:p w:rsidR="00E4166B" w:rsidRPr="00CB45B7" w:rsidRDefault="00E4166B" w:rsidP="003549A2">
            <w:r>
              <w:t>Type of exposure</w:t>
            </w:r>
          </w:p>
        </w:tc>
        <w:tc>
          <w:tcPr>
            <w:tcW w:w="1247" w:type="dxa"/>
            <w:shd w:val="clear" w:color="auto" w:fill="DDD9C3" w:themeFill="background2" w:themeFillShade="E6"/>
            <w:hideMark/>
          </w:tcPr>
          <w:p w:rsidR="00E4166B" w:rsidRPr="00CB45B7" w:rsidRDefault="00E4166B" w:rsidP="003549A2">
            <w:r>
              <w:t>RAC (Bq.m-3)</w:t>
            </w:r>
          </w:p>
        </w:tc>
        <w:tc>
          <w:tcPr>
            <w:tcW w:w="1899" w:type="dxa"/>
            <w:shd w:val="clear" w:color="auto" w:fill="DDD9C3" w:themeFill="background2" w:themeFillShade="E6"/>
            <w:hideMark/>
          </w:tcPr>
          <w:p w:rsidR="00E4166B" w:rsidRPr="00CB45B7" w:rsidRDefault="00E4166B" w:rsidP="003549A2">
            <w:r>
              <w:t>Dose conversion factor</w:t>
            </w:r>
          </w:p>
          <w:p w:rsidR="00E4166B" w:rsidRPr="00CB45B7" w:rsidRDefault="00E4166B" w:rsidP="003549A2">
            <w:r>
              <w:t>(</w:t>
            </w:r>
            <w:proofErr w:type="spellStart"/>
            <w:r>
              <w:t>nSv</w:t>
            </w:r>
            <w:proofErr w:type="spellEnd"/>
            <w:r>
              <w:t>/Bq.h.m</w:t>
            </w:r>
            <w:r>
              <w:rPr>
                <w:vertAlign w:val="superscript"/>
              </w:rPr>
              <w:t>-3</w:t>
            </w:r>
            <w:r>
              <w:t>)</w:t>
            </w:r>
          </w:p>
        </w:tc>
        <w:tc>
          <w:tcPr>
            <w:tcW w:w="1145" w:type="dxa"/>
            <w:shd w:val="clear" w:color="auto" w:fill="DDD9C3" w:themeFill="background2" w:themeFillShade="E6"/>
            <w:hideMark/>
          </w:tcPr>
          <w:p w:rsidR="00E4166B" w:rsidRPr="00CB45B7" w:rsidRDefault="00E4166B" w:rsidP="003549A2">
            <w:r>
              <w:t>Time (hr)</w:t>
            </w:r>
          </w:p>
        </w:tc>
        <w:tc>
          <w:tcPr>
            <w:tcW w:w="1826" w:type="dxa"/>
            <w:shd w:val="clear" w:color="auto" w:fill="DDD9C3" w:themeFill="background2" w:themeFillShade="E6"/>
            <w:hideMark/>
          </w:tcPr>
          <w:p w:rsidR="00E4166B" w:rsidRPr="00CB45B7" w:rsidRDefault="00E4166B" w:rsidP="003549A2">
            <w:r>
              <w:t>Annual effective dose</w:t>
            </w:r>
          </w:p>
          <w:p w:rsidR="00E4166B" w:rsidRPr="00CB45B7" w:rsidRDefault="00E4166B" w:rsidP="003549A2">
            <w:r>
              <w:t>(</w:t>
            </w:r>
            <w:proofErr w:type="spellStart"/>
            <w:r>
              <w:t>mSv</w:t>
            </w:r>
            <w:proofErr w:type="spellEnd"/>
            <w:r>
              <w:t>)</w:t>
            </w:r>
          </w:p>
        </w:tc>
      </w:tr>
      <w:tr w:rsidR="00E4166B" w:rsidRPr="00CB45B7" w:rsidTr="002D4F9B">
        <w:trPr>
          <w:trHeight w:val="584"/>
        </w:trPr>
        <w:tc>
          <w:tcPr>
            <w:tcW w:w="2945" w:type="dxa"/>
            <w:hideMark/>
          </w:tcPr>
          <w:p w:rsidR="00E4166B" w:rsidRPr="00CB45B7" w:rsidRDefault="00E4166B" w:rsidP="003549A2">
            <w:r>
              <w:t>Homes</w:t>
            </w:r>
          </w:p>
        </w:tc>
        <w:tc>
          <w:tcPr>
            <w:tcW w:w="1247" w:type="dxa"/>
            <w:hideMark/>
          </w:tcPr>
          <w:p w:rsidR="00E4166B" w:rsidRPr="00CB45B7" w:rsidRDefault="00E4166B" w:rsidP="003549A2">
            <w:r>
              <w:t>300</w:t>
            </w:r>
          </w:p>
        </w:tc>
        <w:tc>
          <w:tcPr>
            <w:tcW w:w="1899" w:type="dxa"/>
            <w:hideMark/>
          </w:tcPr>
          <w:p w:rsidR="00E4166B" w:rsidRPr="00CB45B7" w:rsidRDefault="00E4166B" w:rsidP="003549A2">
            <w:r>
              <w:t>6.7</w:t>
            </w:r>
          </w:p>
        </w:tc>
        <w:tc>
          <w:tcPr>
            <w:tcW w:w="1145" w:type="dxa"/>
            <w:hideMark/>
          </w:tcPr>
          <w:p w:rsidR="00E4166B" w:rsidRPr="00CB45B7" w:rsidRDefault="00E4166B" w:rsidP="003549A2">
            <w:r>
              <w:t>7000</w:t>
            </w:r>
          </w:p>
        </w:tc>
        <w:tc>
          <w:tcPr>
            <w:tcW w:w="1826" w:type="dxa"/>
            <w:hideMark/>
          </w:tcPr>
          <w:p w:rsidR="00E4166B" w:rsidRPr="00CB45B7" w:rsidRDefault="00E4166B" w:rsidP="003549A2">
            <w:r>
              <w:t xml:space="preserve">14.07 (14 </w:t>
            </w:r>
            <w:proofErr w:type="spellStart"/>
            <w:r>
              <w:t>mSv</w:t>
            </w:r>
            <w:proofErr w:type="spellEnd"/>
            <w:r>
              <w:t>)</w:t>
            </w:r>
          </w:p>
        </w:tc>
      </w:tr>
      <w:tr w:rsidR="00FF07D9" w:rsidRPr="00CB45B7" w:rsidTr="002D4F9B">
        <w:trPr>
          <w:trHeight w:val="806"/>
        </w:trPr>
        <w:tc>
          <w:tcPr>
            <w:tcW w:w="2945" w:type="dxa"/>
          </w:tcPr>
          <w:p w:rsidR="00FF07D9" w:rsidRPr="00CB45B7" w:rsidRDefault="00FF07D9" w:rsidP="002D4F9B">
            <w:pPr>
              <w:spacing w:after="0" w:line="240" w:lineRule="auto"/>
              <w:rPr>
                <w:rFonts w:eastAsia="Times New Roman" w:cs="Arial"/>
                <w:color w:val="000000" w:themeColor="dark1"/>
                <w:kern w:val="24"/>
              </w:rPr>
            </w:pPr>
            <w:r>
              <w:rPr>
                <w:color w:val="000000" w:themeColor="dark1"/>
              </w:rPr>
              <w:t>Workplaces</w:t>
            </w:r>
          </w:p>
        </w:tc>
        <w:tc>
          <w:tcPr>
            <w:tcW w:w="1247" w:type="dxa"/>
          </w:tcPr>
          <w:p w:rsidR="00FF07D9" w:rsidRPr="00CB45B7" w:rsidRDefault="00FF07D9" w:rsidP="003549A2">
            <w:r>
              <w:rPr>
                <w:color w:val="000000" w:themeColor="dark1"/>
              </w:rPr>
              <w:t>300</w:t>
            </w:r>
          </w:p>
        </w:tc>
        <w:tc>
          <w:tcPr>
            <w:tcW w:w="1899" w:type="dxa"/>
          </w:tcPr>
          <w:p w:rsidR="00FF07D9" w:rsidRPr="00CB45B7" w:rsidRDefault="00FF07D9" w:rsidP="003549A2">
            <w:r>
              <w:rPr>
                <w:color w:val="000000" w:themeColor="dark1"/>
              </w:rPr>
              <w:t>6.7</w:t>
            </w:r>
          </w:p>
        </w:tc>
        <w:tc>
          <w:tcPr>
            <w:tcW w:w="1145" w:type="dxa"/>
          </w:tcPr>
          <w:p w:rsidR="00FF07D9" w:rsidRPr="00CB45B7" w:rsidRDefault="00FF07D9" w:rsidP="003549A2">
            <w:r>
              <w:rPr>
                <w:color w:val="000000" w:themeColor="dark1"/>
              </w:rPr>
              <w:t>2000</w:t>
            </w:r>
          </w:p>
        </w:tc>
        <w:tc>
          <w:tcPr>
            <w:tcW w:w="1826" w:type="dxa"/>
          </w:tcPr>
          <w:p w:rsidR="00FF07D9" w:rsidRPr="00CB45B7" w:rsidRDefault="00FF07D9" w:rsidP="003549A2">
            <w:r>
              <w:rPr>
                <w:color w:val="000000" w:themeColor="dark1"/>
              </w:rPr>
              <w:t>4.02 (4</w:t>
            </w:r>
            <w:r>
              <w:rPr>
                <w:bCs/>
                <w:color w:val="000000" w:themeColor="dark1"/>
              </w:rPr>
              <w:t xml:space="preserve"> </w:t>
            </w:r>
            <w:proofErr w:type="spellStart"/>
            <w:r>
              <w:rPr>
                <w:bCs/>
                <w:color w:val="000000" w:themeColor="dark1"/>
              </w:rPr>
              <w:t>mSv</w:t>
            </w:r>
            <w:proofErr w:type="spellEnd"/>
            <w:r>
              <w:rPr>
                <w:color w:val="000000" w:themeColor="dark1"/>
              </w:rPr>
              <w:t>)</w:t>
            </w:r>
          </w:p>
        </w:tc>
      </w:tr>
      <w:tr w:rsidR="00FF07D9" w:rsidRPr="00CB45B7" w:rsidTr="002D4F9B">
        <w:trPr>
          <w:trHeight w:val="806"/>
        </w:trPr>
        <w:tc>
          <w:tcPr>
            <w:tcW w:w="2945" w:type="dxa"/>
            <w:hideMark/>
          </w:tcPr>
          <w:p w:rsidR="00FF07D9" w:rsidRPr="00CB45B7" w:rsidRDefault="00FF07D9" w:rsidP="003549A2">
            <w:r>
              <w:t>Workplaces with increased physical activity; caves</w:t>
            </w:r>
          </w:p>
        </w:tc>
        <w:tc>
          <w:tcPr>
            <w:tcW w:w="1247" w:type="dxa"/>
            <w:hideMark/>
          </w:tcPr>
          <w:p w:rsidR="00FF07D9" w:rsidRPr="00CB45B7" w:rsidRDefault="00FF07D9" w:rsidP="003549A2">
            <w:r>
              <w:t>300</w:t>
            </w:r>
          </w:p>
        </w:tc>
        <w:tc>
          <w:tcPr>
            <w:tcW w:w="1899" w:type="dxa"/>
            <w:hideMark/>
          </w:tcPr>
          <w:p w:rsidR="00FF07D9" w:rsidRPr="00CB45B7" w:rsidRDefault="00FF07D9" w:rsidP="003549A2">
            <w:r>
              <w:t>13</w:t>
            </w:r>
          </w:p>
        </w:tc>
        <w:tc>
          <w:tcPr>
            <w:tcW w:w="1145" w:type="dxa"/>
            <w:hideMark/>
          </w:tcPr>
          <w:p w:rsidR="00FF07D9" w:rsidRPr="00CB45B7" w:rsidRDefault="00FF07D9" w:rsidP="003549A2">
            <w:r>
              <w:t>2000</w:t>
            </w:r>
          </w:p>
        </w:tc>
        <w:tc>
          <w:tcPr>
            <w:tcW w:w="1826" w:type="dxa"/>
            <w:hideMark/>
          </w:tcPr>
          <w:p w:rsidR="00FF07D9" w:rsidRPr="00CB45B7" w:rsidRDefault="00FF07D9" w:rsidP="003549A2">
            <w:r>
              <w:t xml:space="preserve">7.8 (8 </w:t>
            </w:r>
            <w:proofErr w:type="spellStart"/>
            <w:r>
              <w:t>mSv</w:t>
            </w:r>
            <w:proofErr w:type="spellEnd"/>
            <w:r>
              <w:t>)</w:t>
            </w:r>
          </w:p>
        </w:tc>
      </w:tr>
    </w:tbl>
    <w:p w:rsidR="00E4166B" w:rsidRPr="00CB45B7" w:rsidRDefault="00E4166B" w:rsidP="00E4166B">
      <w:r>
        <w:t xml:space="preserve"> * Average value of the RAC in the housing stock of the Czech Republic (representative survey, 1992-93)</w:t>
      </w:r>
    </w:p>
    <w:p w:rsidR="00067AEB" w:rsidRDefault="00067AEB" w:rsidP="00067AEB"/>
    <w:p w:rsidR="00067AEB" w:rsidRPr="008C6832" w:rsidRDefault="00067AEB" w:rsidP="00067AEB">
      <w:r w:rsidRPr="008C6832">
        <w:t>Reference</w:t>
      </w:r>
    </w:p>
    <w:p w:rsidR="00067AEB" w:rsidRPr="008C6832" w:rsidRDefault="00067AEB" w:rsidP="00067AEB">
      <w:r>
        <w:rPr>
          <w:i/>
        </w:rPr>
        <w:t>ICRP 60</w:t>
      </w:r>
      <w:r w:rsidRPr="008C6832">
        <w:t xml:space="preserve">, International Commission on Radiological Protection (ICRP). </w:t>
      </w:r>
      <w:proofErr w:type="gramStart"/>
      <w:r w:rsidRPr="008C6832">
        <w:t>1990 Recommendations of the International Commission on Radiological Protection.</w:t>
      </w:r>
      <w:proofErr w:type="gramEnd"/>
      <w:r w:rsidRPr="008C6832">
        <w:t xml:space="preserve"> ICRP Publication 60, Ann. </w:t>
      </w:r>
      <w:proofErr w:type="spellStart"/>
      <w:r w:rsidRPr="008C6832">
        <w:t>ICRP</w:t>
      </w:r>
      <w:proofErr w:type="spellEnd"/>
      <w:r w:rsidRPr="008C6832">
        <w:t xml:space="preserve"> 21(1-3), </w:t>
      </w:r>
      <w:proofErr w:type="spellStart"/>
      <w:r w:rsidRPr="008C6832">
        <w:t>Pergamon</w:t>
      </w:r>
      <w:proofErr w:type="spellEnd"/>
      <w:r w:rsidRPr="008C6832">
        <w:t xml:space="preserve"> Press, 1991, ISBN 0080411444</w:t>
      </w:r>
    </w:p>
    <w:p w:rsidR="00067AEB" w:rsidRPr="008C6832" w:rsidRDefault="00067AEB" w:rsidP="00067AEB">
      <w:r>
        <w:rPr>
          <w:i/>
        </w:rPr>
        <w:t>ICRP 65</w:t>
      </w:r>
      <w:r w:rsidRPr="008C6832">
        <w:t xml:space="preserve">, International Commission on Radiological Protection (ICRP). </w:t>
      </w:r>
      <w:proofErr w:type="gramStart"/>
      <w:r w:rsidRPr="008C6832">
        <w:t>Protection against radon-222 at home and at work.</w:t>
      </w:r>
      <w:proofErr w:type="gramEnd"/>
      <w:r w:rsidRPr="008C6832">
        <w:t xml:space="preserve"> </w:t>
      </w:r>
      <w:proofErr w:type="gramStart"/>
      <w:r w:rsidRPr="008C6832">
        <w:t>ICRP Publication 65.</w:t>
      </w:r>
      <w:proofErr w:type="gramEnd"/>
      <w:r w:rsidRPr="008C6832">
        <w:t xml:space="preserve"> Ann. ICRP 23 (2), 1993</w:t>
      </w:r>
    </w:p>
    <w:p w:rsidR="00067AEB" w:rsidRPr="008C6832" w:rsidRDefault="00067AEB" w:rsidP="00067AEB">
      <w:r w:rsidRPr="008C6832">
        <w:rPr>
          <w:i/>
        </w:rPr>
        <w:t>Darby et al. 2005</w:t>
      </w:r>
      <w:r w:rsidRPr="008C6832">
        <w:t xml:space="preserve">, Darby S, Hill D, </w:t>
      </w:r>
      <w:proofErr w:type="spellStart"/>
      <w:r w:rsidRPr="008C6832">
        <w:t>Auvinen</w:t>
      </w:r>
      <w:proofErr w:type="spellEnd"/>
      <w:r w:rsidRPr="008C6832">
        <w:t xml:space="preserve"> A, Barros-Dios JM, </w:t>
      </w:r>
      <w:proofErr w:type="spellStart"/>
      <w:r w:rsidRPr="008C6832">
        <w:t>Baysson</w:t>
      </w:r>
      <w:proofErr w:type="spellEnd"/>
      <w:r w:rsidRPr="008C6832">
        <w:t xml:space="preserve"> H, </w:t>
      </w:r>
      <w:proofErr w:type="spellStart"/>
      <w:r w:rsidRPr="008C6832">
        <w:t>Bochicchio</w:t>
      </w:r>
      <w:proofErr w:type="spellEnd"/>
      <w:r w:rsidRPr="008C6832">
        <w:t xml:space="preserve"> F, </w:t>
      </w:r>
      <w:proofErr w:type="spellStart"/>
      <w:r w:rsidRPr="008C6832">
        <w:t>Deo</w:t>
      </w:r>
      <w:proofErr w:type="spellEnd"/>
      <w:r w:rsidRPr="008C6832">
        <w:t xml:space="preserve"> H, Falk R, </w:t>
      </w:r>
      <w:proofErr w:type="spellStart"/>
      <w:r w:rsidRPr="008C6832">
        <w:t>Forastiere</w:t>
      </w:r>
      <w:proofErr w:type="spellEnd"/>
      <w:r w:rsidRPr="008C6832">
        <w:t xml:space="preserve"> F, </w:t>
      </w:r>
      <w:proofErr w:type="spellStart"/>
      <w:r w:rsidRPr="008C6832">
        <w:t>Hakama</w:t>
      </w:r>
      <w:proofErr w:type="spellEnd"/>
      <w:r w:rsidRPr="008C6832">
        <w:t xml:space="preserve"> M, </w:t>
      </w:r>
      <w:proofErr w:type="spellStart"/>
      <w:r w:rsidRPr="008C6832">
        <w:t>Heid</w:t>
      </w:r>
      <w:proofErr w:type="spellEnd"/>
      <w:r w:rsidRPr="008C6832">
        <w:t xml:space="preserve"> I, </w:t>
      </w:r>
      <w:proofErr w:type="spellStart"/>
      <w:r w:rsidRPr="008C6832">
        <w:t>Kreienbrock</w:t>
      </w:r>
      <w:proofErr w:type="spellEnd"/>
      <w:r w:rsidRPr="008C6832">
        <w:t xml:space="preserve"> L, </w:t>
      </w:r>
      <w:proofErr w:type="spellStart"/>
      <w:r w:rsidRPr="008C6832">
        <w:t>Kreuzer</w:t>
      </w:r>
      <w:proofErr w:type="spellEnd"/>
      <w:r w:rsidRPr="008C6832">
        <w:t xml:space="preserve"> M, </w:t>
      </w:r>
      <w:proofErr w:type="spellStart"/>
      <w:r w:rsidRPr="008C6832">
        <w:t>Lagarde</w:t>
      </w:r>
      <w:proofErr w:type="spellEnd"/>
      <w:r w:rsidRPr="008C6832">
        <w:t xml:space="preserve"> F, </w:t>
      </w:r>
      <w:proofErr w:type="spellStart"/>
      <w:r w:rsidRPr="008C6832">
        <w:t>Mäkeläinen</w:t>
      </w:r>
      <w:proofErr w:type="spellEnd"/>
      <w:r w:rsidRPr="008C6832">
        <w:t xml:space="preserve"> I, </w:t>
      </w:r>
      <w:proofErr w:type="spellStart"/>
      <w:r w:rsidRPr="008C6832">
        <w:t>Muirhead</w:t>
      </w:r>
      <w:proofErr w:type="spellEnd"/>
      <w:r w:rsidRPr="008C6832">
        <w:t xml:space="preserve"> C, </w:t>
      </w:r>
      <w:proofErr w:type="spellStart"/>
      <w:r w:rsidRPr="008C6832">
        <w:t>Oberaigner</w:t>
      </w:r>
      <w:proofErr w:type="spellEnd"/>
      <w:r w:rsidRPr="008C6832">
        <w:t xml:space="preserve"> W, </w:t>
      </w:r>
      <w:proofErr w:type="spellStart"/>
      <w:r w:rsidRPr="008C6832">
        <w:t>Pershagen</w:t>
      </w:r>
      <w:proofErr w:type="spellEnd"/>
      <w:r w:rsidRPr="008C6832">
        <w:t xml:space="preserve"> G, </w:t>
      </w:r>
      <w:proofErr w:type="spellStart"/>
      <w:r w:rsidRPr="008C6832">
        <w:t>Ruano-Ravina</w:t>
      </w:r>
      <w:proofErr w:type="spellEnd"/>
      <w:r w:rsidRPr="008C6832">
        <w:t xml:space="preserve"> A, </w:t>
      </w:r>
      <w:proofErr w:type="spellStart"/>
      <w:r w:rsidRPr="008C6832">
        <w:t>Ruosteenoja</w:t>
      </w:r>
      <w:proofErr w:type="spellEnd"/>
      <w:r w:rsidRPr="008C6832">
        <w:t xml:space="preserve"> E, Rosario AS, </w:t>
      </w:r>
      <w:proofErr w:type="spellStart"/>
      <w:r w:rsidRPr="008C6832">
        <w:t>Tirmarche</w:t>
      </w:r>
      <w:proofErr w:type="spellEnd"/>
      <w:r w:rsidRPr="008C6832">
        <w:t xml:space="preserve"> M, </w:t>
      </w:r>
      <w:proofErr w:type="spellStart"/>
      <w:r w:rsidRPr="008C6832">
        <w:t>Tomásek</w:t>
      </w:r>
      <w:proofErr w:type="spellEnd"/>
      <w:r w:rsidRPr="008C6832">
        <w:t xml:space="preserve"> L, Whitley E, Wichmann HE, Doll R. Radon in homes and risk of lung cancer: collaborative analysis of individual data from 13 European case–control studies. </w:t>
      </w:r>
      <w:proofErr w:type="gramStart"/>
      <w:r w:rsidRPr="008C6832">
        <w:t>BMJ.</w:t>
      </w:r>
      <w:proofErr w:type="gramEnd"/>
      <w:r w:rsidRPr="008C6832">
        <w:t xml:space="preserve"> 2005 Jan 29</w:t>
      </w:r>
      <w:proofErr w:type="gramStart"/>
      <w:r w:rsidRPr="008C6832">
        <w:t>;330</w:t>
      </w:r>
      <w:proofErr w:type="gramEnd"/>
      <w:r w:rsidRPr="008C6832">
        <w:t xml:space="preserve">(7485):223. </w:t>
      </w:r>
      <w:proofErr w:type="spellStart"/>
      <w:r w:rsidRPr="008C6832">
        <w:t>Epub</w:t>
      </w:r>
      <w:proofErr w:type="spellEnd"/>
      <w:r w:rsidRPr="008C6832">
        <w:t xml:space="preserve"> 2004 Dec 21</w:t>
      </w:r>
    </w:p>
    <w:p w:rsidR="00067AEB" w:rsidRPr="008C6832" w:rsidRDefault="00067AEB" w:rsidP="00067AEB">
      <w:r w:rsidRPr="008C6832">
        <w:rPr>
          <w:i/>
        </w:rPr>
        <w:t>Darby et al. 2006</w:t>
      </w:r>
      <w:r w:rsidRPr="008C6832">
        <w:t xml:space="preserve">, Darby S, Hill D, </w:t>
      </w:r>
      <w:proofErr w:type="spellStart"/>
      <w:r w:rsidRPr="008C6832">
        <w:t>Deo</w:t>
      </w:r>
      <w:proofErr w:type="spellEnd"/>
      <w:r w:rsidRPr="008C6832">
        <w:t xml:space="preserve"> H, </w:t>
      </w:r>
      <w:proofErr w:type="spellStart"/>
      <w:r w:rsidRPr="008C6832">
        <w:t>Auvinen</w:t>
      </w:r>
      <w:proofErr w:type="spellEnd"/>
      <w:r w:rsidRPr="008C6832">
        <w:t xml:space="preserve"> A, Barros-Dios JM, </w:t>
      </w:r>
      <w:proofErr w:type="spellStart"/>
      <w:r w:rsidRPr="008C6832">
        <w:t>Baysson</w:t>
      </w:r>
      <w:proofErr w:type="spellEnd"/>
      <w:r w:rsidRPr="008C6832">
        <w:t xml:space="preserve"> H, </w:t>
      </w:r>
      <w:proofErr w:type="spellStart"/>
      <w:r w:rsidRPr="008C6832">
        <w:t>Bochicchio</w:t>
      </w:r>
      <w:proofErr w:type="spellEnd"/>
      <w:r w:rsidRPr="008C6832">
        <w:t xml:space="preserve"> F, Falk R, </w:t>
      </w:r>
      <w:proofErr w:type="spellStart"/>
      <w:r w:rsidRPr="008C6832">
        <w:t>Farchi</w:t>
      </w:r>
      <w:proofErr w:type="spellEnd"/>
      <w:r w:rsidRPr="008C6832">
        <w:t xml:space="preserve"> S, </w:t>
      </w:r>
      <w:proofErr w:type="spellStart"/>
      <w:r w:rsidRPr="008C6832">
        <w:t>Figueiras</w:t>
      </w:r>
      <w:proofErr w:type="spellEnd"/>
      <w:r w:rsidRPr="008C6832">
        <w:t xml:space="preserve"> A, </w:t>
      </w:r>
      <w:proofErr w:type="spellStart"/>
      <w:r w:rsidRPr="008C6832">
        <w:t>Hakama</w:t>
      </w:r>
      <w:proofErr w:type="spellEnd"/>
      <w:r w:rsidRPr="008C6832">
        <w:t xml:space="preserve"> M, </w:t>
      </w:r>
      <w:proofErr w:type="spellStart"/>
      <w:r w:rsidRPr="008C6832">
        <w:t>Heid</w:t>
      </w:r>
      <w:proofErr w:type="spellEnd"/>
      <w:r w:rsidRPr="008C6832">
        <w:t xml:space="preserve"> I, Hunter N, </w:t>
      </w:r>
      <w:proofErr w:type="spellStart"/>
      <w:r w:rsidRPr="008C6832">
        <w:t>Kreienbrock</w:t>
      </w:r>
      <w:proofErr w:type="spellEnd"/>
      <w:r w:rsidRPr="008C6832">
        <w:t xml:space="preserve"> L, </w:t>
      </w:r>
      <w:proofErr w:type="spellStart"/>
      <w:r w:rsidRPr="008C6832">
        <w:t>Kreuzer</w:t>
      </w:r>
      <w:proofErr w:type="spellEnd"/>
      <w:r w:rsidRPr="008C6832">
        <w:t xml:space="preserve"> M, </w:t>
      </w:r>
      <w:proofErr w:type="spellStart"/>
      <w:r w:rsidRPr="008C6832">
        <w:t>Lagarde</w:t>
      </w:r>
      <w:proofErr w:type="spellEnd"/>
      <w:r w:rsidRPr="008C6832">
        <w:t xml:space="preserve"> F, </w:t>
      </w:r>
      <w:proofErr w:type="spellStart"/>
      <w:r w:rsidRPr="008C6832">
        <w:t>Mäkeläinen</w:t>
      </w:r>
      <w:proofErr w:type="spellEnd"/>
      <w:r w:rsidRPr="008C6832">
        <w:t xml:space="preserve"> I, </w:t>
      </w:r>
      <w:proofErr w:type="spellStart"/>
      <w:r w:rsidRPr="008C6832">
        <w:t>Muirhead</w:t>
      </w:r>
      <w:proofErr w:type="spellEnd"/>
      <w:r w:rsidRPr="008C6832">
        <w:t xml:space="preserve"> C, </w:t>
      </w:r>
      <w:proofErr w:type="spellStart"/>
      <w:r w:rsidRPr="008C6832">
        <w:t>Oberaigner</w:t>
      </w:r>
      <w:proofErr w:type="spellEnd"/>
      <w:r w:rsidRPr="008C6832">
        <w:t xml:space="preserve"> W, </w:t>
      </w:r>
      <w:proofErr w:type="spellStart"/>
      <w:r w:rsidRPr="008C6832">
        <w:t>Pershagen</w:t>
      </w:r>
      <w:proofErr w:type="spellEnd"/>
      <w:r w:rsidRPr="008C6832">
        <w:t xml:space="preserve"> G, </w:t>
      </w:r>
      <w:proofErr w:type="spellStart"/>
      <w:r w:rsidRPr="008C6832">
        <w:t>Ruosteenoja</w:t>
      </w:r>
      <w:proofErr w:type="spellEnd"/>
      <w:r w:rsidRPr="008C6832">
        <w:t xml:space="preserve"> E, Rosario AS, </w:t>
      </w:r>
      <w:proofErr w:type="spellStart"/>
      <w:r w:rsidRPr="008C6832">
        <w:t>Tirmarche</w:t>
      </w:r>
      <w:proofErr w:type="spellEnd"/>
      <w:r w:rsidRPr="008C6832">
        <w:t xml:space="preserve"> M, </w:t>
      </w:r>
      <w:proofErr w:type="spellStart"/>
      <w:r w:rsidRPr="008C6832">
        <w:t>Tomásek</w:t>
      </w:r>
      <w:proofErr w:type="spellEnd"/>
      <w:r w:rsidRPr="008C6832">
        <w:t xml:space="preserve"> L, Whitley E, Wichmann HE, Doll R. Residential radon and lung cancer – detailed results of a collaborative analysis of individual data on 7148 persons with lung cancer and 14,208 persons without lung cancer from 13 epidemiologic studies in Europe. </w:t>
      </w:r>
      <w:proofErr w:type="spellStart"/>
      <w:r w:rsidRPr="008C6832">
        <w:t>Scand</w:t>
      </w:r>
      <w:proofErr w:type="spellEnd"/>
      <w:r w:rsidRPr="008C6832">
        <w:t xml:space="preserve"> J Work Environ Health. 2006</w:t>
      </w:r>
      <w:proofErr w:type="gramStart"/>
      <w:r w:rsidRPr="008C6832">
        <w:t>;32</w:t>
      </w:r>
      <w:proofErr w:type="gramEnd"/>
      <w:r w:rsidRPr="008C6832">
        <w:t xml:space="preserve"> </w:t>
      </w:r>
      <w:proofErr w:type="spellStart"/>
      <w:r w:rsidRPr="008C6832">
        <w:t>Suppl</w:t>
      </w:r>
      <w:proofErr w:type="spellEnd"/>
      <w:r w:rsidRPr="008C6832">
        <w:t xml:space="preserve"> 1:1-83. Erratum in </w:t>
      </w:r>
      <w:proofErr w:type="spellStart"/>
      <w:r w:rsidRPr="008C6832">
        <w:t>Scand</w:t>
      </w:r>
      <w:proofErr w:type="spellEnd"/>
      <w:r w:rsidRPr="008C6832">
        <w:t xml:space="preserve"> J Work Environ Health. 2007 Feb</w:t>
      </w:r>
      <w:proofErr w:type="gramStart"/>
      <w:r w:rsidRPr="008C6832">
        <w:t>;33</w:t>
      </w:r>
      <w:proofErr w:type="gramEnd"/>
      <w:r w:rsidRPr="008C6832">
        <w:t>(1):80</w:t>
      </w:r>
    </w:p>
    <w:p w:rsidR="00067AEB" w:rsidRPr="008C6832" w:rsidRDefault="00067AEB" w:rsidP="00067AEB">
      <w:r w:rsidRPr="008C6832">
        <w:rPr>
          <w:i/>
        </w:rPr>
        <w:t>UN 2009</w:t>
      </w:r>
      <w:r w:rsidRPr="008C6832">
        <w:t>, United Nations (UN). UNSCEAR 2006 Report, Effects of ionizing radiation, Volume II Annex E: Sources-to-Effects Assessment for Radon in Homes and Workplaces. New York, 2009</w:t>
      </w:r>
      <w:proofErr w:type="gramStart"/>
      <w:r w:rsidRPr="008C6832">
        <w:t>,ISBN78</w:t>
      </w:r>
      <w:proofErr w:type="gramEnd"/>
      <w:r w:rsidRPr="008C6832">
        <w:t xml:space="preserve">-92-1-142270-2, http://www.unscear.org/unscear/en/publications/2006_2.html, </w:t>
      </w:r>
      <w:proofErr w:type="spellStart"/>
      <w:r w:rsidRPr="008C6832">
        <w:t>zuletzt</w:t>
      </w:r>
      <w:proofErr w:type="spellEnd"/>
      <w:r w:rsidRPr="008C6832">
        <w:t xml:space="preserve"> </w:t>
      </w:r>
      <w:proofErr w:type="spellStart"/>
      <w:r w:rsidRPr="008C6832">
        <w:t>aufgerufen</w:t>
      </w:r>
      <w:proofErr w:type="spellEnd"/>
      <w:r w:rsidRPr="008C6832">
        <w:t xml:space="preserve"> am 13.09.2017</w:t>
      </w:r>
    </w:p>
    <w:p w:rsidR="00067AEB" w:rsidRPr="008C6832" w:rsidRDefault="00067AEB" w:rsidP="00067AEB">
      <w:r w:rsidRPr="008C6832">
        <w:rPr>
          <w:i/>
        </w:rPr>
        <w:lastRenderedPageBreak/>
        <w:t xml:space="preserve">ICRP </w:t>
      </w:r>
      <w:r>
        <w:rPr>
          <w:i/>
        </w:rPr>
        <w:t>115</w:t>
      </w:r>
      <w:r w:rsidRPr="008C6832">
        <w:t>, International Commission on Radiological Protection (ICRP). Lung Cancer Risk from Radon and Progeny and Statement on Radon. ICRP Publication 115, Ann. ICRP 40(1), Elsevier, 2010, ISBN 978-0702049774</w:t>
      </w:r>
    </w:p>
    <w:p w:rsidR="00067AEB" w:rsidRPr="008C6832" w:rsidRDefault="00067AEB" w:rsidP="00067AEB">
      <w:r w:rsidRPr="008C6832">
        <w:rPr>
          <w:i/>
        </w:rPr>
        <w:t xml:space="preserve">ICRP </w:t>
      </w:r>
      <w:r>
        <w:rPr>
          <w:i/>
        </w:rPr>
        <w:t>126</w:t>
      </w:r>
      <w:r w:rsidRPr="008C6832">
        <w:t xml:space="preserve">, International Commission on Radiological Protection (ICRP). </w:t>
      </w:r>
      <w:proofErr w:type="gramStart"/>
      <w:r w:rsidRPr="008C6832">
        <w:t>Radiological protection against radon exposure.</w:t>
      </w:r>
      <w:proofErr w:type="gramEnd"/>
      <w:r w:rsidRPr="008C6832">
        <w:t xml:space="preserve"> </w:t>
      </w:r>
      <w:proofErr w:type="gramStart"/>
      <w:r w:rsidRPr="008C6832">
        <w:t>ICRP Publication 126.</w:t>
      </w:r>
      <w:proofErr w:type="gramEnd"/>
      <w:r w:rsidRPr="008C6832">
        <w:t xml:space="preserve"> Ann. ICRP 43(3), 2014, SAGE Publications Ltd, 2014, ISBN 978-1473916586</w:t>
      </w:r>
    </w:p>
    <w:p w:rsidR="00067AEB" w:rsidRDefault="00067AEB" w:rsidP="00067AEB">
      <w:r w:rsidRPr="008C6832">
        <w:rPr>
          <w:i/>
        </w:rPr>
        <w:t xml:space="preserve">ICRP </w:t>
      </w:r>
      <w:r>
        <w:rPr>
          <w:i/>
        </w:rPr>
        <w:t>137</w:t>
      </w:r>
      <w:r w:rsidRPr="008C6832">
        <w:t xml:space="preserve">, International Commission on Radiological Protection (ICRP). Occupational Intakes of Radionuclides: Part 3. </w:t>
      </w:r>
      <w:proofErr w:type="gramStart"/>
      <w:r w:rsidRPr="008C6832">
        <w:t>ICRP Publication 137.</w:t>
      </w:r>
      <w:proofErr w:type="gramEnd"/>
      <w:r w:rsidRPr="008C6832">
        <w:t xml:space="preserve"> Ann. </w:t>
      </w:r>
      <w:proofErr w:type="spellStart"/>
      <w:r w:rsidRPr="008C6832">
        <w:t>ICRP</w:t>
      </w:r>
      <w:proofErr w:type="spellEnd"/>
      <w:r w:rsidRPr="008C6832">
        <w:t xml:space="preserve"> 45(3/4), </w:t>
      </w:r>
      <w:proofErr w:type="spellStart"/>
      <w:r w:rsidRPr="008C6832">
        <w:t>im</w:t>
      </w:r>
      <w:proofErr w:type="spellEnd"/>
      <w:r w:rsidRPr="008C6832">
        <w:t xml:space="preserve"> </w:t>
      </w:r>
      <w:proofErr w:type="spellStart"/>
      <w:r w:rsidRPr="008C6832">
        <w:t>Dru</w:t>
      </w:r>
      <w:r>
        <w:t>ck</w:t>
      </w:r>
      <w:proofErr w:type="spellEnd"/>
    </w:p>
    <w:p w:rsidR="00E4166B" w:rsidRPr="00CB45B7" w:rsidRDefault="00E4166B" w:rsidP="00E4166B"/>
    <w:sectPr w:rsidR="00E4166B" w:rsidRPr="00CB45B7" w:rsidSect="008F4667">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617" w:rsidRDefault="00915617" w:rsidP="008F4667">
      <w:pPr>
        <w:spacing w:after="0" w:line="240" w:lineRule="auto"/>
      </w:pPr>
      <w:r>
        <w:separator/>
      </w:r>
    </w:p>
  </w:endnote>
  <w:endnote w:type="continuationSeparator" w:id="0">
    <w:p w:rsidR="00915617" w:rsidRDefault="00915617" w:rsidP="008F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tučné">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506314"/>
      <w:docPartObj>
        <w:docPartGallery w:val="Page Numbers (Bottom of Page)"/>
        <w:docPartUnique/>
      </w:docPartObj>
    </w:sdtPr>
    <w:sdtEndPr/>
    <w:sdtContent>
      <w:sdt>
        <w:sdtPr>
          <w:id w:val="-1669238322"/>
          <w:docPartObj>
            <w:docPartGallery w:val="Page Numbers (Top of Page)"/>
            <w:docPartUnique/>
          </w:docPartObj>
        </w:sdtPr>
        <w:sdtEndPr/>
        <w:sdtContent>
          <w:p w:rsidR="008F4667" w:rsidRDefault="008F4667">
            <w:pPr>
              <w:pStyle w:val="Zpat"/>
              <w:jc w:val="center"/>
            </w:pPr>
            <w:r w:rsidRPr="008F4667">
              <w:rPr>
                <w:bCs/>
                <w:szCs w:val="24"/>
              </w:rPr>
              <w:fldChar w:fldCharType="begin"/>
            </w:r>
            <w:r w:rsidRPr="008F4667">
              <w:rPr>
                <w:bCs/>
              </w:rPr>
              <w:instrText>PAGE</w:instrText>
            </w:r>
            <w:r w:rsidRPr="008F4667">
              <w:rPr>
                <w:bCs/>
                <w:szCs w:val="24"/>
              </w:rPr>
              <w:fldChar w:fldCharType="separate"/>
            </w:r>
            <w:r>
              <w:rPr>
                <w:bCs/>
                <w:noProof/>
              </w:rPr>
              <w:t>2</w:t>
            </w:r>
            <w:r w:rsidRPr="008F4667">
              <w:rPr>
                <w:bCs/>
                <w:szCs w:val="24"/>
              </w:rPr>
              <w:fldChar w:fldCharType="end"/>
            </w:r>
            <w:r w:rsidRPr="008F4667">
              <w:rPr>
                <w:lang w:val="cs-CZ"/>
              </w:rPr>
              <w:t xml:space="preserve"> </w:t>
            </w:r>
            <w:r>
              <w:rPr>
                <w:lang w:val="cs-CZ"/>
              </w:rPr>
              <w:t xml:space="preserve">/ </w:t>
            </w:r>
            <w:r w:rsidRPr="008F4667">
              <w:rPr>
                <w:bCs/>
                <w:szCs w:val="24"/>
              </w:rPr>
              <w:fldChar w:fldCharType="begin"/>
            </w:r>
            <w:r w:rsidRPr="008F4667">
              <w:rPr>
                <w:bCs/>
              </w:rPr>
              <w:instrText>NUMPAGES</w:instrText>
            </w:r>
            <w:r w:rsidRPr="008F4667">
              <w:rPr>
                <w:bCs/>
                <w:szCs w:val="24"/>
              </w:rPr>
              <w:fldChar w:fldCharType="separate"/>
            </w:r>
            <w:r>
              <w:rPr>
                <w:bCs/>
                <w:noProof/>
              </w:rPr>
              <w:t>4</w:t>
            </w:r>
            <w:r w:rsidRPr="008F4667">
              <w:rPr>
                <w:bCs/>
                <w:szCs w:val="24"/>
              </w:rPr>
              <w:fldChar w:fldCharType="end"/>
            </w:r>
          </w:p>
        </w:sdtContent>
      </w:sdt>
    </w:sdtContent>
  </w:sdt>
  <w:p w:rsidR="008F4667" w:rsidRDefault="008F46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617" w:rsidRDefault="00915617" w:rsidP="008F4667">
      <w:pPr>
        <w:spacing w:after="0" w:line="240" w:lineRule="auto"/>
      </w:pPr>
      <w:r>
        <w:separator/>
      </w:r>
    </w:p>
  </w:footnote>
  <w:footnote w:type="continuationSeparator" w:id="0">
    <w:p w:rsidR="00915617" w:rsidRDefault="00915617" w:rsidP="008F46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67" w:rsidRPr="008F4667" w:rsidRDefault="008F4667" w:rsidP="008F4667">
    <w:pPr>
      <w:pStyle w:val="Zhlav"/>
      <w:jc w:val="center"/>
      <w:rPr>
        <w:szCs w:val="24"/>
      </w:rPr>
    </w:pPr>
    <w:r w:rsidRPr="008F4667">
      <w:rPr>
        <w:szCs w:val="24"/>
      </w:rPr>
      <w:t>State Office for Nuclear Safety</w:t>
    </w:r>
  </w:p>
  <w:p w:rsidR="008F4667" w:rsidRPr="008F4667" w:rsidRDefault="008F4667" w:rsidP="008F4667">
    <w:pPr>
      <w:pStyle w:val="Zhlav"/>
      <w:jc w:val="center"/>
      <w:rPr>
        <w:sz w:val="20"/>
        <w:szCs w:val="20"/>
      </w:rPr>
    </w:pPr>
    <w:proofErr w:type="spellStart"/>
    <w:r w:rsidRPr="008F4667">
      <w:rPr>
        <w:sz w:val="20"/>
        <w:szCs w:val="20"/>
      </w:rPr>
      <w:t>Senovazne</w:t>
    </w:r>
    <w:proofErr w:type="spellEnd"/>
    <w:r w:rsidRPr="008F4667">
      <w:rPr>
        <w:sz w:val="20"/>
        <w:szCs w:val="20"/>
      </w:rPr>
      <w:t xml:space="preserve"> </w:t>
    </w:r>
    <w:proofErr w:type="spellStart"/>
    <w:r w:rsidRPr="008F4667">
      <w:rPr>
        <w:sz w:val="20"/>
        <w:szCs w:val="20"/>
      </w:rPr>
      <w:t>nam</w:t>
    </w:r>
    <w:proofErr w:type="spellEnd"/>
    <w:r w:rsidRPr="008F4667">
      <w:rPr>
        <w:sz w:val="20"/>
        <w:szCs w:val="20"/>
      </w:rPr>
      <w:t>. 9</w:t>
    </w:r>
  </w:p>
  <w:p w:rsidR="008F4667" w:rsidRPr="008F4667" w:rsidRDefault="008F4667" w:rsidP="008F4667">
    <w:pPr>
      <w:pStyle w:val="Zhlav"/>
      <w:jc w:val="center"/>
      <w:rPr>
        <w:sz w:val="20"/>
        <w:szCs w:val="20"/>
      </w:rPr>
    </w:pPr>
    <w:r w:rsidRPr="008F4667">
      <w:rPr>
        <w:sz w:val="20"/>
        <w:szCs w:val="20"/>
      </w:rPr>
      <w:t>110 00Praha 1</w:t>
    </w:r>
  </w:p>
  <w:p w:rsidR="008F4667" w:rsidRPr="008F4667" w:rsidRDefault="008F4667" w:rsidP="008F4667">
    <w:pPr>
      <w:pStyle w:val="Zhlav"/>
      <w:jc w:val="center"/>
      <w:rPr>
        <w:sz w:val="20"/>
        <w:szCs w:val="20"/>
      </w:rPr>
    </w:pPr>
    <w:r w:rsidRPr="008F4667">
      <w:rPr>
        <w:sz w:val="20"/>
        <w:szCs w:val="20"/>
      </w:rPr>
      <w:t>Czech Republic</w:t>
    </w:r>
  </w:p>
  <w:p w:rsidR="008F4667" w:rsidRDefault="008F466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1D2E"/>
    <w:multiLevelType w:val="hybridMultilevel"/>
    <w:tmpl w:val="D70216E0"/>
    <w:lvl w:ilvl="0" w:tplc="021A132A">
      <w:start w:val="1"/>
      <w:numFmt w:val="lowerLetter"/>
      <w:pStyle w:val="Odstavecseseznamem"/>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C1C1B6C"/>
    <w:multiLevelType w:val="hybridMultilevel"/>
    <w:tmpl w:val="A420D5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C7C2A7A"/>
    <w:multiLevelType w:val="multilevel"/>
    <w:tmpl w:val="4B846694"/>
    <w:lvl w:ilvl="0">
      <w:start w:val="1"/>
      <w:numFmt w:val="decimal"/>
      <w:pStyle w:val="Nadpis1"/>
      <w:lvlText w:val="%1."/>
      <w:lvlJc w:val="left"/>
      <w:pPr>
        <w:ind w:left="360" w:hanging="360"/>
      </w:pPr>
      <w:rPr>
        <w:rFonts w:hint="default"/>
        <w:b/>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Nadpis2"/>
      <w:lvlText w:val="%1.%2"/>
      <w:lvlJc w:val="left"/>
      <w:pPr>
        <w:ind w:left="576" w:hanging="576"/>
      </w:pPr>
      <w:rPr>
        <w:rFonts w:ascii="Times New Roman" w:hAnsi="Times New Roman" w:cs="Times New Roman" w:hint="default"/>
        <w:b/>
        <w:sz w:val="26"/>
        <w:szCs w:val="26"/>
      </w:rPr>
    </w:lvl>
    <w:lvl w:ilvl="2">
      <w:start w:val="1"/>
      <w:numFmt w:val="decimal"/>
      <w:pStyle w:val="Nadpis3"/>
      <w:lvlText w:val="%1.%2.%3"/>
      <w:lvlJc w:val="left"/>
      <w:pPr>
        <w:ind w:left="720" w:hanging="720"/>
      </w:pPr>
      <w:rPr>
        <w:rFonts w:ascii="Times New Roman" w:hAnsi="Times New Roman" w:cs="Times New Roman" w:hint="default"/>
        <w:b/>
        <w:sz w:val="22"/>
        <w:szCs w:val="22"/>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66B"/>
    <w:rsid w:val="00067AEB"/>
    <w:rsid w:val="000E149B"/>
    <w:rsid w:val="000F556E"/>
    <w:rsid w:val="00110F62"/>
    <w:rsid w:val="001411FC"/>
    <w:rsid w:val="001C4AC4"/>
    <w:rsid w:val="001E4D93"/>
    <w:rsid w:val="002D4F9B"/>
    <w:rsid w:val="00463E40"/>
    <w:rsid w:val="00644C3E"/>
    <w:rsid w:val="00657ABF"/>
    <w:rsid w:val="00813A17"/>
    <w:rsid w:val="00871469"/>
    <w:rsid w:val="008A4576"/>
    <w:rsid w:val="008A5B51"/>
    <w:rsid w:val="008C1E88"/>
    <w:rsid w:val="008F4667"/>
    <w:rsid w:val="00915617"/>
    <w:rsid w:val="00A62213"/>
    <w:rsid w:val="00B82895"/>
    <w:rsid w:val="00CB45B7"/>
    <w:rsid w:val="00D3221C"/>
    <w:rsid w:val="00D90880"/>
    <w:rsid w:val="00DE086E"/>
    <w:rsid w:val="00E008A3"/>
    <w:rsid w:val="00E4166B"/>
    <w:rsid w:val="00E47166"/>
    <w:rsid w:val="00E87576"/>
    <w:rsid w:val="00F50694"/>
    <w:rsid w:val="00FF0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166B"/>
    <w:pPr>
      <w:spacing w:after="160" w:line="259" w:lineRule="auto"/>
      <w:jc w:val="both"/>
    </w:pPr>
    <w:rPr>
      <w:sz w:val="24"/>
      <w:szCs w:val="23"/>
    </w:rPr>
  </w:style>
  <w:style w:type="paragraph" w:styleId="Nadpis1">
    <w:name w:val="heading 1"/>
    <w:aliases w:val="SZP 1"/>
    <w:basedOn w:val="Normln"/>
    <w:next w:val="Normln"/>
    <w:link w:val="Nadpis1Char"/>
    <w:qFormat/>
    <w:rsid w:val="00657ABF"/>
    <w:pPr>
      <w:keepNext/>
      <w:keepLines/>
      <w:numPr>
        <w:numId w:val="10"/>
      </w:numPr>
      <w:spacing w:before="480" w:after="120"/>
      <w:jc w:val="left"/>
      <w:outlineLvl w:val="0"/>
    </w:pPr>
    <w:rPr>
      <w:rFonts w:eastAsiaTheme="majorEastAsia" w:cs="Times New Roman"/>
      <w:b/>
      <w:bCs/>
      <w:sz w:val="32"/>
      <w:szCs w:val="32"/>
    </w:rPr>
  </w:style>
  <w:style w:type="paragraph" w:styleId="Nadpis2">
    <w:name w:val="heading 2"/>
    <w:basedOn w:val="Normln"/>
    <w:next w:val="Normln"/>
    <w:link w:val="Nadpis2Char"/>
    <w:autoRedefine/>
    <w:unhideWhenUsed/>
    <w:qFormat/>
    <w:rsid w:val="00657ABF"/>
    <w:pPr>
      <w:keepNext/>
      <w:keepLines/>
      <w:numPr>
        <w:ilvl w:val="1"/>
        <w:numId w:val="10"/>
      </w:numPr>
      <w:spacing w:before="200" w:after="120"/>
      <w:outlineLvl w:val="1"/>
    </w:pPr>
    <w:rPr>
      <w:rFonts w:ascii="Times New Roman tučné" w:eastAsiaTheme="majorEastAsia" w:hAnsi="Times New Roman tučné" w:cstheme="majorBidi"/>
      <w:b/>
      <w:bCs/>
      <w:sz w:val="26"/>
      <w:szCs w:val="26"/>
    </w:rPr>
  </w:style>
  <w:style w:type="paragraph" w:styleId="Nadpis3">
    <w:name w:val="heading 3"/>
    <w:basedOn w:val="Normln"/>
    <w:next w:val="Normln"/>
    <w:link w:val="Nadpis3Char"/>
    <w:unhideWhenUsed/>
    <w:qFormat/>
    <w:rsid w:val="00657ABF"/>
    <w:pPr>
      <w:keepNext/>
      <w:keepLines/>
      <w:numPr>
        <w:ilvl w:val="2"/>
        <w:numId w:val="10"/>
      </w:numPr>
      <w:spacing w:before="200" w:after="12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unhideWhenUsed/>
    <w:qFormat/>
    <w:rsid w:val="00657ABF"/>
    <w:pPr>
      <w:keepNext/>
      <w:keepLines/>
      <w:numPr>
        <w:ilvl w:val="3"/>
        <w:numId w:val="10"/>
      </w:num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657ABF"/>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657ABF"/>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657ABF"/>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57ABF"/>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657ABF"/>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vnpodnadpisem">
    <w:name w:val="číslování pod nadpisem"/>
    <w:basedOn w:val="Odstavecseseznamem"/>
    <w:qFormat/>
    <w:rsid w:val="00657ABF"/>
    <w:pPr>
      <w:numPr>
        <w:numId w:val="0"/>
      </w:numPr>
    </w:pPr>
  </w:style>
  <w:style w:type="paragraph" w:styleId="Odstavecseseznamem">
    <w:name w:val="List Paragraph"/>
    <w:aliases w:val="číslování normal"/>
    <w:basedOn w:val="Normln"/>
    <w:autoRedefine/>
    <w:uiPriority w:val="34"/>
    <w:qFormat/>
    <w:rsid w:val="00657ABF"/>
    <w:pPr>
      <w:numPr>
        <w:numId w:val="12"/>
      </w:numPr>
      <w:tabs>
        <w:tab w:val="left" w:pos="1134"/>
      </w:tabs>
      <w:spacing w:after="120" w:line="240" w:lineRule="auto"/>
    </w:pPr>
  </w:style>
  <w:style w:type="paragraph" w:customStyle="1" w:styleId="Nzev2">
    <w:name w:val="Název 2"/>
    <w:basedOn w:val="Normln"/>
    <w:qFormat/>
    <w:rsid w:val="00657ABF"/>
    <w:pPr>
      <w:spacing w:before="120"/>
    </w:pPr>
    <w:rPr>
      <w:b/>
      <w:u w:val="single"/>
    </w:rPr>
  </w:style>
  <w:style w:type="character" w:customStyle="1" w:styleId="Nadpis1Char">
    <w:name w:val="Nadpis 1 Char"/>
    <w:aliases w:val="SZP 1 Char"/>
    <w:basedOn w:val="Standardnpsmoodstavce"/>
    <w:link w:val="Nadpis1"/>
    <w:rsid w:val="00657ABF"/>
    <w:rPr>
      <w:rFonts w:ascii="Times New Roman" w:eastAsiaTheme="majorEastAsia" w:hAnsi="Times New Roman" w:cs="Times New Roman"/>
      <w:b/>
      <w:bCs/>
      <w:sz w:val="32"/>
      <w:szCs w:val="32"/>
    </w:rPr>
  </w:style>
  <w:style w:type="character" w:customStyle="1" w:styleId="Nadpis2Char">
    <w:name w:val="Nadpis 2 Char"/>
    <w:basedOn w:val="Standardnpsmoodstavce"/>
    <w:link w:val="Nadpis2"/>
    <w:rsid w:val="00657ABF"/>
    <w:rPr>
      <w:rFonts w:ascii="Times New Roman tučné" w:eastAsiaTheme="majorEastAsia" w:hAnsi="Times New Roman tučné" w:cstheme="majorBidi"/>
      <w:b/>
      <w:bCs/>
      <w:sz w:val="26"/>
      <w:szCs w:val="26"/>
    </w:rPr>
  </w:style>
  <w:style w:type="character" w:customStyle="1" w:styleId="Nadpis3Char">
    <w:name w:val="Nadpis 3 Char"/>
    <w:basedOn w:val="Standardnpsmoodstavce"/>
    <w:link w:val="Nadpis3"/>
    <w:rsid w:val="00657ABF"/>
    <w:rPr>
      <w:rFonts w:asciiTheme="majorHAnsi" w:eastAsiaTheme="majorEastAsia" w:hAnsiTheme="majorHAnsi" w:cstheme="majorBidi"/>
      <w:b/>
      <w:bCs/>
    </w:rPr>
  </w:style>
  <w:style w:type="character" w:customStyle="1" w:styleId="Nadpis4Char">
    <w:name w:val="Nadpis 4 Char"/>
    <w:basedOn w:val="Standardnpsmoodstavce"/>
    <w:link w:val="Nadpis4"/>
    <w:uiPriority w:val="9"/>
    <w:rsid w:val="00657ABF"/>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657ABF"/>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657ABF"/>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657ABF"/>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57ABF"/>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57ABF"/>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autoRedefine/>
    <w:uiPriority w:val="10"/>
    <w:qFormat/>
    <w:rsid w:val="00657ABF"/>
    <w:pPr>
      <w:spacing w:before="60" w:after="60" w:line="240" w:lineRule="auto"/>
      <w:ind w:left="1134"/>
      <w:contextualSpacing/>
    </w:pPr>
    <w:rPr>
      <w:rFonts w:asciiTheme="majorHAnsi" w:eastAsiaTheme="majorEastAsia" w:hAnsiTheme="majorHAnsi" w:cstheme="majorBidi"/>
      <w:b/>
      <w:spacing w:val="5"/>
      <w:kern w:val="28"/>
      <w:szCs w:val="52"/>
      <w:u w:val="single"/>
    </w:rPr>
  </w:style>
  <w:style w:type="character" w:customStyle="1" w:styleId="NzevChar">
    <w:name w:val="Název Char"/>
    <w:basedOn w:val="Standardnpsmoodstavce"/>
    <w:link w:val="Nzev"/>
    <w:uiPriority w:val="10"/>
    <w:rsid w:val="00657ABF"/>
    <w:rPr>
      <w:rFonts w:asciiTheme="majorHAnsi" w:eastAsiaTheme="majorEastAsia" w:hAnsiTheme="majorHAnsi" w:cstheme="majorBidi"/>
      <w:b/>
      <w:spacing w:val="5"/>
      <w:kern w:val="28"/>
      <w:szCs w:val="52"/>
      <w:u w:val="single"/>
    </w:rPr>
  </w:style>
  <w:style w:type="character" w:styleId="Siln">
    <w:name w:val="Strong"/>
    <w:basedOn w:val="Standardnpsmoodstavce"/>
    <w:qFormat/>
    <w:rsid w:val="00657ABF"/>
    <w:rPr>
      <w:b/>
      <w:bCs/>
    </w:rPr>
  </w:style>
  <w:style w:type="paragraph" w:styleId="Bezmezer">
    <w:name w:val="No Spacing"/>
    <w:aliases w:val="za názvem normální"/>
    <w:link w:val="BezmezerChar"/>
    <w:autoRedefine/>
    <w:uiPriority w:val="1"/>
    <w:qFormat/>
    <w:rsid w:val="00657ABF"/>
    <w:pPr>
      <w:spacing w:after="0" w:line="240" w:lineRule="auto"/>
      <w:jc w:val="both"/>
    </w:pPr>
    <w:rPr>
      <w:rFonts w:ascii="Times New Roman" w:hAnsi="Times New Roman" w:cs="Times New Roman"/>
    </w:rPr>
  </w:style>
  <w:style w:type="character" w:customStyle="1" w:styleId="BezmezerChar">
    <w:name w:val="Bez mezer Char"/>
    <w:aliases w:val="za názvem normální Char"/>
    <w:basedOn w:val="Standardnpsmoodstavce"/>
    <w:link w:val="Bezmezer"/>
    <w:uiPriority w:val="1"/>
    <w:rsid w:val="00657ABF"/>
    <w:rPr>
      <w:rFonts w:ascii="Times New Roman" w:hAnsi="Times New Roman" w:cs="Times New Roman"/>
    </w:rPr>
  </w:style>
  <w:style w:type="paragraph" w:styleId="Citt">
    <w:name w:val="Quote"/>
    <w:basedOn w:val="Normln"/>
    <w:next w:val="Normln"/>
    <w:link w:val="CittChar"/>
    <w:uiPriority w:val="29"/>
    <w:qFormat/>
    <w:rsid w:val="00657ABF"/>
    <w:rPr>
      <w:i/>
      <w:iCs/>
      <w:color w:val="000000" w:themeColor="text1"/>
    </w:rPr>
  </w:style>
  <w:style w:type="character" w:customStyle="1" w:styleId="CittChar">
    <w:name w:val="Citát Char"/>
    <w:basedOn w:val="Standardnpsmoodstavce"/>
    <w:link w:val="Citt"/>
    <w:uiPriority w:val="29"/>
    <w:rsid w:val="00657ABF"/>
    <w:rPr>
      <w:i/>
      <w:iCs/>
      <w:color w:val="000000" w:themeColor="text1"/>
    </w:rPr>
  </w:style>
  <w:style w:type="paragraph" w:styleId="Vrazncitt">
    <w:name w:val="Intense Quote"/>
    <w:basedOn w:val="Normln"/>
    <w:next w:val="Normln"/>
    <w:link w:val="VrazncittChar"/>
    <w:uiPriority w:val="30"/>
    <w:qFormat/>
    <w:rsid w:val="00657ABF"/>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657ABF"/>
    <w:rPr>
      <w:b/>
      <w:bCs/>
      <w:i/>
      <w:iCs/>
      <w:color w:val="4F81BD" w:themeColor="accent1"/>
    </w:rPr>
  </w:style>
  <w:style w:type="character" w:styleId="Nzevknihy">
    <w:name w:val="Book Title"/>
    <w:basedOn w:val="Standardnpsmoodstavce"/>
    <w:uiPriority w:val="33"/>
    <w:qFormat/>
    <w:rsid w:val="00657ABF"/>
    <w:rPr>
      <w:b w:val="0"/>
      <w:bCs/>
      <w:i w:val="0"/>
      <w:caps w:val="0"/>
      <w:smallCaps w:val="0"/>
      <w:spacing w:val="5"/>
    </w:rPr>
  </w:style>
  <w:style w:type="paragraph" w:styleId="Nadpisobsahu">
    <w:name w:val="TOC Heading"/>
    <w:basedOn w:val="Nadpis1"/>
    <w:next w:val="Normln"/>
    <w:uiPriority w:val="39"/>
    <w:unhideWhenUsed/>
    <w:qFormat/>
    <w:rsid w:val="00657ABF"/>
    <w:pPr>
      <w:numPr>
        <w:numId w:val="0"/>
      </w:numPr>
      <w:spacing w:before="240" w:after="0"/>
      <w:outlineLvl w:val="9"/>
    </w:pPr>
    <w:rPr>
      <w:rFonts w:asciiTheme="majorHAnsi" w:hAnsiTheme="majorHAnsi" w:cstheme="majorBidi"/>
      <w:b w:val="0"/>
      <w:bCs w:val="0"/>
      <w:color w:val="365F91" w:themeColor="accent1" w:themeShade="BF"/>
      <w:lang w:eastAsia="cs-CZ"/>
    </w:rPr>
  </w:style>
  <w:style w:type="character" w:styleId="Odkaznakoment">
    <w:name w:val="annotation reference"/>
    <w:basedOn w:val="Standardnpsmoodstavce"/>
    <w:uiPriority w:val="99"/>
    <w:semiHidden/>
    <w:unhideWhenUsed/>
    <w:rsid w:val="00871469"/>
    <w:rPr>
      <w:sz w:val="16"/>
      <w:szCs w:val="16"/>
    </w:rPr>
  </w:style>
  <w:style w:type="paragraph" w:styleId="Textkomente">
    <w:name w:val="annotation text"/>
    <w:basedOn w:val="Normln"/>
    <w:link w:val="TextkomenteChar"/>
    <w:uiPriority w:val="99"/>
    <w:semiHidden/>
    <w:unhideWhenUsed/>
    <w:rsid w:val="00871469"/>
    <w:pPr>
      <w:spacing w:line="240" w:lineRule="auto"/>
    </w:pPr>
    <w:rPr>
      <w:sz w:val="20"/>
      <w:szCs w:val="20"/>
    </w:rPr>
  </w:style>
  <w:style w:type="character" w:customStyle="1" w:styleId="TextkomenteChar">
    <w:name w:val="Text komentáře Char"/>
    <w:basedOn w:val="Standardnpsmoodstavce"/>
    <w:link w:val="Textkomente"/>
    <w:uiPriority w:val="99"/>
    <w:semiHidden/>
    <w:rsid w:val="00871469"/>
    <w:rPr>
      <w:sz w:val="20"/>
      <w:szCs w:val="20"/>
    </w:rPr>
  </w:style>
  <w:style w:type="paragraph" w:styleId="Pedmtkomente">
    <w:name w:val="annotation subject"/>
    <w:basedOn w:val="Textkomente"/>
    <w:next w:val="Textkomente"/>
    <w:link w:val="PedmtkomenteChar"/>
    <w:uiPriority w:val="99"/>
    <w:semiHidden/>
    <w:unhideWhenUsed/>
    <w:rsid w:val="00871469"/>
    <w:rPr>
      <w:b/>
      <w:bCs/>
    </w:rPr>
  </w:style>
  <w:style w:type="character" w:customStyle="1" w:styleId="PedmtkomenteChar">
    <w:name w:val="Předmět komentáře Char"/>
    <w:basedOn w:val="TextkomenteChar"/>
    <w:link w:val="Pedmtkomente"/>
    <w:uiPriority w:val="99"/>
    <w:semiHidden/>
    <w:rsid w:val="00871469"/>
    <w:rPr>
      <w:b/>
      <w:bCs/>
      <w:sz w:val="20"/>
      <w:szCs w:val="20"/>
    </w:rPr>
  </w:style>
  <w:style w:type="paragraph" w:styleId="Textbubliny">
    <w:name w:val="Balloon Text"/>
    <w:basedOn w:val="Normln"/>
    <w:link w:val="TextbublinyChar"/>
    <w:uiPriority w:val="99"/>
    <w:semiHidden/>
    <w:unhideWhenUsed/>
    <w:rsid w:val="0087146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71469"/>
    <w:rPr>
      <w:rFonts w:ascii="Tahoma" w:hAnsi="Tahoma" w:cs="Tahoma"/>
      <w:sz w:val="16"/>
      <w:szCs w:val="16"/>
    </w:rPr>
  </w:style>
  <w:style w:type="table" w:styleId="Mkatabulky">
    <w:name w:val="Table Grid"/>
    <w:basedOn w:val="Normlntabulka"/>
    <w:uiPriority w:val="59"/>
    <w:rsid w:val="000E1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F46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4667"/>
    <w:rPr>
      <w:sz w:val="24"/>
      <w:szCs w:val="23"/>
    </w:rPr>
  </w:style>
  <w:style w:type="paragraph" w:styleId="Zpat">
    <w:name w:val="footer"/>
    <w:basedOn w:val="Normln"/>
    <w:link w:val="ZpatChar"/>
    <w:uiPriority w:val="99"/>
    <w:unhideWhenUsed/>
    <w:rsid w:val="008F4667"/>
    <w:pPr>
      <w:tabs>
        <w:tab w:val="center" w:pos="4536"/>
        <w:tab w:val="right" w:pos="9072"/>
      </w:tabs>
      <w:spacing w:after="0" w:line="240" w:lineRule="auto"/>
    </w:pPr>
  </w:style>
  <w:style w:type="character" w:customStyle="1" w:styleId="ZpatChar">
    <w:name w:val="Zápatí Char"/>
    <w:basedOn w:val="Standardnpsmoodstavce"/>
    <w:link w:val="Zpat"/>
    <w:uiPriority w:val="99"/>
    <w:rsid w:val="008F4667"/>
    <w:rPr>
      <w:sz w:val="24"/>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166B"/>
    <w:pPr>
      <w:spacing w:after="160" w:line="259" w:lineRule="auto"/>
      <w:jc w:val="both"/>
    </w:pPr>
    <w:rPr>
      <w:sz w:val="24"/>
      <w:szCs w:val="23"/>
    </w:rPr>
  </w:style>
  <w:style w:type="paragraph" w:styleId="Nadpis1">
    <w:name w:val="heading 1"/>
    <w:aliases w:val="SZP 1"/>
    <w:basedOn w:val="Normln"/>
    <w:next w:val="Normln"/>
    <w:link w:val="Nadpis1Char"/>
    <w:qFormat/>
    <w:rsid w:val="00657ABF"/>
    <w:pPr>
      <w:keepNext/>
      <w:keepLines/>
      <w:numPr>
        <w:numId w:val="10"/>
      </w:numPr>
      <w:spacing w:before="480" w:after="120"/>
      <w:jc w:val="left"/>
      <w:outlineLvl w:val="0"/>
    </w:pPr>
    <w:rPr>
      <w:rFonts w:eastAsiaTheme="majorEastAsia" w:cs="Times New Roman"/>
      <w:b/>
      <w:bCs/>
      <w:sz w:val="32"/>
      <w:szCs w:val="32"/>
    </w:rPr>
  </w:style>
  <w:style w:type="paragraph" w:styleId="Nadpis2">
    <w:name w:val="heading 2"/>
    <w:basedOn w:val="Normln"/>
    <w:next w:val="Normln"/>
    <w:link w:val="Nadpis2Char"/>
    <w:autoRedefine/>
    <w:unhideWhenUsed/>
    <w:qFormat/>
    <w:rsid w:val="00657ABF"/>
    <w:pPr>
      <w:keepNext/>
      <w:keepLines/>
      <w:numPr>
        <w:ilvl w:val="1"/>
        <w:numId w:val="10"/>
      </w:numPr>
      <w:spacing w:before="200" w:after="120"/>
      <w:outlineLvl w:val="1"/>
    </w:pPr>
    <w:rPr>
      <w:rFonts w:ascii="Times New Roman tučné" w:eastAsiaTheme="majorEastAsia" w:hAnsi="Times New Roman tučné" w:cstheme="majorBidi"/>
      <w:b/>
      <w:bCs/>
      <w:sz w:val="26"/>
      <w:szCs w:val="26"/>
    </w:rPr>
  </w:style>
  <w:style w:type="paragraph" w:styleId="Nadpis3">
    <w:name w:val="heading 3"/>
    <w:basedOn w:val="Normln"/>
    <w:next w:val="Normln"/>
    <w:link w:val="Nadpis3Char"/>
    <w:unhideWhenUsed/>
    <w:qFormat/>
    <w:rsid w:val="00657ABF"/>
    <w:pPr>
      <w:keepNext/>
      <w:keepLines/>
      <w:numPr>
        <w:ilvl w:val="2"/>
        <w:numId w:val="10"/>
      </w:numPr>
      <w:spacing w:before="200" w:after="12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unhideWhenUsed/>
    <w:qFormat/>
    <w:rsid w:val="00657ABF"/>
    <w:pPr>
      <w:keepNext/>
      <w:keepLines/>
      <w:numPr>
        <w:ilvl w:val="3"/>
        <w:numId w:val="10"/>
      </w:num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657ABF"/>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657ABF"/>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657ABF"/>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57ABF"/>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657ABF"/>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vnpodnadpisem">
    <w:name w:val="číslování pod nadpisem"/>
    <w:basedOn w:val="Odstavecseseznamem"/>
    <w:qFormat/>
    <w:rsid w:val="00657ABF"/>
    <w:pPr>
      <w:numPr>
        <w:numId w:val="0"/>
      </w:numPr>
    </w:pPr>
  </w:style>
  <w:style w:type="paragraph" w:styleId="Odstavecseseznamem">
    <w:name w:val="List Paragraph"/>
    <w:aliases w:val="číslování normal"/>
    <w:basedOn w:val="Normln"/>
    <w:autoRedefine/>
    <w:uiPriority w:val="34"/>
    <w:qFormat/>
    <w:rsid w:val="00657ABF"/>
    <w:pPr>
      <w:numPr>
        <w:numId w:val="12"/>
      </w:numPr>
      <w:tabs>
        <w:tab w:val="left" w:pos="1134"/>
      </w:tabs>
      <w:spacing w:after="120" w:line="240" w:lineRule="auto"/>
    </w:pPr>
  </w:style>
  <w:style w:type="paragraph" w:customStyle="1" w:styleId="Nzev2">
    <w:name w:val="Název 2"/>
    <w:basedOn w:val="Normln"/>
    <w:qFormat/>
    <w:rsid w:val="00657ABF"/>
    <w:pPr>
      <w:spacing w:before="120"/>
    </w:pPr>
    <w:rPr>
      <w:b/>
      <w:u w:val="single"/>
    </w:rPr>
  </w:style>
  <w:style w:type="character" w:customStyle="1" w:styleId="Nadpis1Char">
    <w:name w:val="Nadpis 1 Char"/>
    <w:aliases w:val="SZP 1 Char"/>
    <w:basedOn w:val="Standardnpsmoodstavce"/>
    <w:link w:val="Nadpis1"/>
    <w:rsid w:val="00657ABF"/>
    <w:rPr>
      <w:rFonts w:ascii="Times New Roman" w:eastAsiaTheme="majorEastAsia" w:hAnsi="Times New Roman" w:cs="Times New Roman"/>
      <w:b/>
      <w:bCs/>
      <w:sz w:val="32"/>
      <w:szCs w:val="32"/>
    </w:rPr>
  </w:style>
  <w:style w:type="character" w:customStyle="1" w:styleId="Nadpis2Char">
    <w:name w:val="Nadpis 2 Char"/>
    <w:basedOn w:val="Standardnpsmoodstavce"/>
    <w:link w:val="Nadpis2"/>
    <w:rsid w:val="00657ABF"/>
    <w:rPr>
      <w:rFonts w:ascii="Times New Roman tučné" w:eastAsiaTheme="majorEastAsia" w:hAnsi="Times New Roman tučné" w:cstheme="majorBidi"/>
      <w:b/>
      <w:bCs/>
      <w:sz w:val="26"/>
      <w:szCs w:val="26"/>
    </w:rPr>
  </w:style>
  <w:style w:type="character" w:customStyle="1" w:styleId="Nadpis3Char">
    <w:name w:val="Nadpis 3 Char"/>
    <w:basedOn w:val="Standardnpsmoodstavce"/>
    <w:link w:val="Nadpis3"/>
    <w:rsid w:val="00657ABF"/>
    <w:rPr>
      <w:rFonts w:asciiTheme="majorHAnsi" w:eastAsiaTheme="majorEastAsia" w:hAnsiTheme="majorHAnsi" w:cstheme="majorBidi"/>
      <w:b/>
      <w:bCs/>
    </w:rPr>
  </w:style>
  <w:style w:type="character" w:customStyle="1" w:styleId="Nadpis4Char">
    <w:name w:val="Nadpis 4 Char"/>
    <w:basedOn w:val="Standardnpsmoodstavce"/>
    <w:link w:val="Nadpis4"/>
    <w:uiPriority w:val="9"/>
    <w:rsid w:val="00657ABF"/>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657ABF"/>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657ABF"/>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657ABF"/>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57ABF"/>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57ABF"/>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autoRedefine/>
    <w:uiPriority w:val="10"/>
    <w:qFormat/>
    <w:rsid w:val="00657ABF"/>
    <w:pPr>
      <w:spacing w:before="60" w:after="60" w:line="240" w:lineRule="auto"/>
      <w:ind w:left="1134"/>
      <w:contextualSpacing/>
    </w:pPr>
    <w:rPr>
      <w:rFonts w:asciiTheme="majorHAnsi" w:eastAsiaTheme="majorEastAsia" w:hAnsiTheme="majorHAnsi" w:cstheme="majorBidi"/>
      <w:b/>
      <w:spacing w:val="5"/>
      <w:kern w:val="28"/>
      <w:szCs w:val="52"/>
      <w:u w:val="single"/>
    </w:rPr>
  </w:style>
  <w:style w:type="character" w:customStyle="1" w:styleId="NzevChar">
    <w:name w:val="Název Char"/>
    <w:basedOn w:val="Standardnpsmoodstavce"/>
    <w:link w:val="Nzev"/>
    <w:uiPriority w:val="10"/>
    <w:rsid w:val="00657ABF"/>
    <w:rPr>
      <w:rFonts w:asciiTheme="majorHAnsi" w:eastAsiaTheme="majorEastAsia" w:hAnsiTheme="majorHAnsi" w:cstheme="majorBidi"/>
      <w:b/>
      <w:spacing w:val="5"/>
      <w:kern w:val="28"/>
      <w:szCs w:val="52"/>
      <w:u w:val="single"/>
    </w:rPr>
  </w:style>
  <w:style w:type="character" w:styleId="Siln">
    <w:name w:val="Strong"/>
    <w:basedOn w:val="Standardnpsmoodstavce"/>
    <w:qFormat/>
    <w:rsid w:val="00657ABF"/>
    <w:rPr>
      <w:b/>
      <w:bCs/>
    </w:rPr>
  </w:style>
  <w:style w:type="paragraph" w:styleId="Bezmezer">
    <w:name w:val="No Spacing"/>
    <w:aliases w:val="za názvem normální"/>
    <w:link w:val="BezmezerChar"/>
    <w:autoRedefine/>
    <w:uiPriority w:val="1"/>
    <w:qFormat/>
    <w:rsid w:val="00657ABF"/>
    <w:pPr>
      <w:spacing w:after="0" w:line="240" w:lineRule="auto"/>
      <w:jc w:val="both"/>
    </w:pPr>
    <w:rPr>
      <w:rFonts w:ascii="Times New Roman" w:hAnsi="Times New Roman" w:cs="Times New Roman"/>
    </w:rPr>
  </w:style>
  <w:style w:type="character" w:customStyle="1" w:styleId="BezmezerChar">
    <w:name w:val="Bez mezer Char"/>
    <w:aliases w:val="za názvem normální Char"/>
    <w:basedOn w:val="Standardnpsmoodstavce"/>
    <w:link w:val="Bezmezer"/>
    <w:uiPriority w:val="1"/>
    <w:rsid w:val="00657ABF"/>
    <w:rPr>
      <w:rFonts w:ascii="Times New Roman" w:hAnsi="Times New Roman" w:cs="Times New Roman"/>
    </w:rPr>
  </w:style>
  <w:style w:type="paragraph" w:styleId="Citt">
    <w:name w:val="Quote"/>
    <w:basedOn w:val="Normln"/>
    <w:next w:val="Normln"/>
    <w:link w:val="CittChar"/>
    <w:uiPriority w:val="29"/>
    <w:qFormat/>
    <w:rsid w:val="00657ABF"/>
    <w:rPr>
      <w:i/>
      <w:iCs/>
      <w:color w:val="000000" w:themeColor="text1"/>
    </w:rPr>
  </w:style>
  <w:style w:type="character" w:customStyle="1" w:styleId="CittChar">
    <w:name w:val="Citát Char"/>
    <w:basedOn w:val="Standardnpsmoodstavce"/>
    <w:link w:val="Citt"/>
    <w:uiPriority w:val="29"/>
    <w:rsid w:val="00657ABF"/>
    <w:rPr>
      <w:i/>
      <w:iCs/>
      <w:color w:val="000000" w:themeColor="text1"/>
    </w:rPr>
  </w:style>
  <w:style w:type="paragraph" w:styleId="Vrazncitt">
    <w:name w:val="Intense Quote"/>
    <w:basedOn w:val="Normln"/>
    <w:next w:val="Normln"/>
    <w:link w:val="VrazncittChar"/>
    <w:uiPriority w:val="30"/>
    <w:qFormat/>
    <w:rsid w:val="00657ABF"/>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657ABF"/>
    <w:rPr>
      <w:b/>
      <w:bCs/>
      <w:i/>
      <w:iCs/>
      <w:color w:val="4F81BD" w:themeColor="accent1"/>
    </w:rPr>
  </w:style>
  <w:style w:type="character" w:styleId="Nzevknihy">
    <w:name w:val="Book Title"/>
    <w:basedOn w:val="Standardnpsmoodstavce"/>
    <w:uiPriority w:val="33"/>
    <w:qFormat/>
    <w:rsid w:val="00657ABF"/>
    <w:rPr>
      <w:b w:val="0"/>
      <w:bCs/>
      <w:i w:val="0"/>
      <w:caps w:val="0"/>
      <w:smallCaps w:val="0"/>
      <w:spacing w:val="5"/>
    </w:rPr>
  </w:style>
  <w:style w:type="paragraph" w:styleId="Nadpisobsahu">
    <w:name w:val="TOC Heading"/>
    <w:basedOn w:val="Nadpis1"/>
    <w:next w:val="Normln"/>
    <w:uiPriority w:val="39"/>
    <w:unhideWhenUsed/>
    <w:qFormat/>
    <w:rsid w:val="00657ABF"/>
    <w:pPr>
      <w:numPr>
        <w:numId w:val="0"/>
      </w:numPr>
      <w:spacing w:before="240" w:after="0"/>
      <w:outlineLvl w:val="9"/>
    </w:pPr>
    <w:rPr>
      <w:rFonts w:asciiTheme="majorHAnsi" w:hAnsiTheme="majorHAnsi" w:cstheme="majorBidi"/>
      <w:b w:val="0"/>
      <w:bCs w:val="0"/>
      <w:color w:val="365F91" w:themeColor="accent1" w:themeShade="BF"/>
      <w:lang w:eastAsia="cs-CZ"/>
    </w:rPr>
  </w:style>
  <w:style w:type="character" w:styleId="Odkaznakoment">
    <w:name w:val="annotation reference"/>
    <w:basedOn w:val="Standardnpsmoodstavce"/>
    <w:uiPriority w:val="99"/>
    <w:semiHidden/>
    <w:unhideWhenUsed/>
    <w:rsid w:val="00871469"/>
    <w:rPr>
      <w:sz w:val="16"/>
      <w:szCs w:val="16"/>
    </w:rPr>
  </w:style>
  <w:style w:type="paragraph" w:styleId="Textkomente">
    <w:name w:val="annotation text"/>
    <w:basedOn w:val="Normln"/>
    <w:link w:val="TextkomenteChar"/>
    <w:uiPriority w:val="99"/>
    <w:semiHidden/>
    <w:unhideWhenUsed/>
    <w:rsid w:val="00871469"/>
    <w:pPr>
      <w:spacing w:line="240" w:lineRule="auto"/>
    </w:pPr>
    <w:rPr>
      <w:sz w:val="20"/>
      <w:szCs w:val="20"/>
    </w:rPr>
  </w:style>
  <w:style w:type="character" w:customStyle="1" w:styleId="TextkomenteChar">
    <w:name w:val="Text komentáře Char"/>
    <w:basedOn w:val="Standardnpsmoodstavce"/>
    <w:link w:val="Textkomente"/>
    <w:uiPriority w:val="99"/>
    <w:semiHidden/>
    <w:rsid w:val="00871469"/>
    <w:rPr>
      <w:sz w:val="20"/>
      <w:szCs w:val="20"/>
    </w:rPr>
  </w:style>
  <w:style w:type="paragraph" w:styleId="Pedmtkomente">
    <w:name w:val="annotation subject"/>
    <w:basedOn w:val="Textkomente"/>
    <w:next w:val="Textkomente"/>
    <w:link w:val="PedmtkomenteChar"/>
    <w:uiPriority w:val="99"/>
    <w:semiHidden/>
    <w:unhideWhenUsed/>
    <w:rsid w:val="00871469"/>
    <w:rPr>
      <w:b/>
      <w:bCs/>
    </w:rPr>
  </w:style>
  <w:style w:type="character" w:customStyle="1" w:styleId="PedmtkomenteChar">
    <w:name w:val="Předmět komentáře Char"/>
    <w:basedOn w:val="TextkomenteChar"/>
    <w:link w:val="Pedmtkomente"/>
    <w:uiPriority w:val="99"/>
    <w:semiHidden/>
    <w:rsid w:val="00871469"/>
    <w:rPr>
      <w:b/>
      <w:bCs/>
      <w:sz w:val="20"/>
      <w:szCs w:val="20"/>
    </w:rPr>
  </w:style>
  <w:style w:type="paragraph" w:styleId="Textbubliny">
    <w:name w:val="Balloon Text"/>
    <w:basedOn w:val="Normln"/>
    <w:link w:val="TextbublinyChar"/>
    <w:uiPriority w:val="99"/>
    <w:semiHidden/>
    <w:unhideWhenUsed/>
    <w:rsid w:val="0087146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71469"/>
    <w:rPr>
      <w:rFonts w:ascii="Tahoma" w:hAnsi="Tahoma" w:cs="Tahoma"/>
      <w:sz w:val="16"/>
      <w:szCs w:val="16"/>
    </w:rPr>
  </w:style>
  <w:style w:type="table" w:styleId="Mkatabulky">
    <w:name w:val="Table Grid"/>
    <w:basedOn w:val="Normlntabulka"/>
    <w:uiPriority w:val="59"/>
    <w:rsid w:val="000E1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F46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4667"/>
    <w:rPr>
      <w:sz w:val="24"/>
      <w:szCs w:val="23"/>
    </w:rPr>
  </w:style>
  <w:style w:type="paragraph" w:styleId="Zpat">
    <w:name w:val="footer"/>
    <w:basedOn w:val="Normln"/>
    <w:link w:val="ZpatChar"/>
    <w:uiPriority w:val="99"/>
    <w:unhideWhenUsed/>
    <w:rsid w:val="008F4667"/>
    <w:pPr>
      <w:tabs>
        <w:tab w:val="center" w:pos="4536"/>
        <w:tab w:val="right" w:pos="9072"/>
      </w:tabs>
      <w:spacing w:after="0" w:line="240" w:lineRule="auto"/>
    </w:pPr>
  </w:style>
  <w:style w:type="character" w:customStyle="1" w:styleId="ZpatChar">
    <w:name w:val="Zápatí Char"/>
    <w:basedOn w:val="Standardnpsmoodstavce"/>
    <w:link w:val="Zpat"/>
    <w:uiPriority w:val="99"/>
    <w:rsid w:val="008F4667"/>
    <w:rPr>
      <w:sz w:val="24"/>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tučné">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C3"/>
    <w:rsid w:val="00944757"/>
    <w:rsid w:val="00EB23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10B6C9FDBA34CCBB60B8143FDF2F313">
    <w:name w:val="010B6C9FDBA34CCBB60B8143FDF2F313"/>
    <w:rsid w:val="00EB23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10B6C9FDBA34CCBB60B8143FDF2F313">
    <w:name w:val="010B6C9FDBA34CCBB60B8143FDF2F313"/>
    <w:rsid w:val="00EB23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4F79-8CB1-45AA-B43A-47A614C5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6267</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Berčíková</dc:creator>
  <cp:lastModifiedBy>Marcela Berčíková</cp:lastModifiedBy>
  <cp:revision>2</cp:revision>
  <cp:lastPrinted>2018-11-23T10:04:00Z</cp:lastPrinted>
  <dcterms:created xsi:type="dcterms:W3CDTF">2018-12-03T12:33:00Z</dcterms:created>
  <dcterms:modified xsi:type="dcterms:W3CDTF">2018-12-03T12:33:00Z</dcterms:modified>
</cp:coreProperties>
</file>