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6E" w:rsidRDefault="00DE086E" w:rsidP="00E4166B">
      <w:pPr>
        <w:rPr>
          <w:b/>
          <w:sz w:val="28"/>
          <w:szCs w:val="28"/>
        </w:rPr>
      </w:pPr>
    </w:p>
    <w:p w:rsidR="00E4166B" w:rsidRDefault="00DE086E" w:rsidP="00E4166B">
      <w:pPr>
        <w:rPr>
          <w:b/>
          <w:sz w:val="28"/>
          <w:szCs w:val="28"/>
        </w:rPr>
      </w:pPr>
      <w:r w:rsidRPr="00DE086E">
        <w:rPr>
          <w:b/>
          <w:color w:val="FF0000"/>
          <w:sz w:val="28"/>
          <w:szCs w:val="28"/>
        </w:rPr>
        <w:t>Radonové</w:t>
      </w:r>
      <w:r>
        <w:rPr>
          <w:b/>
          <w:sz w:val="28"/>
          <w:szCs w:val="28"/>
        </w:rPr>
        <w:t xml:space="preserve"> d</w:t>
      </w:r>
      <w:r w:rsidR="00E4166B" w:rsidRPr="00B746FB">
        <w:rPr>
          <w:b/>
          <w:sz w:val="28"/>
          <w:szCs w:val="28"/>
        </w:rPr>
        <w:t xml:space="preserve">ávkové konverzní faktory </w:t>
      </w:r>
    </w:p>
    <w:p w:rsidR="00E4166B" w:rsidRPr="0038327F" w:rsidRDefault="00E4166B" w:rsidP="00E4166B">
      <w:pPr>
        <w:rPr>
          <w:b/>
          <w:szCs w:val="24"/>
        </w:rPr>
      </w:pPr>
      <w:r w:rsidRPr="0038327F">
        <w:rPr>
          <w:b/>
          <w:szCs w:val="24"/>
        </w:rPr>
        <w:t xml:space="preserve">V roce 2017 ICRP (INTERNATIONAL COMMISSION ON RADIOLOGICAL PROTECTION) v publikaci ICRP, 2017. </w:t>
      </w:r>
      <w:proofErr w:type="spellStart"/>
      <w:r w:rsidRPr="0038327F">
        <w:rPr>
          <w:b/>
          <w:szCs w:val="24"/>
        </w:rPr>
        <w:t>Occupational</w:t>
      </w:r>
      <w:proofErr w:type="spellEnd"/>
      <w:r w:rsidRPr="0038327F">
        <w:rPr>
          <w:b/>
          <w:szCs w:val="24"/>
        </w:rPr>
        <w:t xml:space="preserve"> </w:t>
      </w:r>
      <w:proofErr w:type="spellStart"/>
      <w:r w:rsidRPr="0038327F">
        <w:rPr>
          <w:b/>
          <w:szCs w:val="24"/>
        </w:rPr>
        <w:t>intakes</w:t>
      </w:r>
      <w:proofErr w:type="spellEnd"/>
      <w:r w:rsidRPr="0038327F">
        <w:rPr>
          <w:b/>
          <w:szCs w:val="24"/>
        </w:rPr>
        <w:t xml:space="preserve"> </w:t>
      </w:r>
      <w:proofErr w:type="spellStart"/>
      <w:r w:rsidRPr="0038327F">
        <w:rPr>
          <w:b/>
          <w:szCs w:val="24"/>
        </w:rPr>
        <w:t>of</w:t>
      </w:r>
      <w:proofErr w:type="spellEnd"/>
      <w:r w:rsidRPr="0038327F">
        <w:rPr>
          <w:b/>
          <w:szCs w:val="24"/>
        </w:rPr>
        <w:t xml:space="preserve"> </w:t>
      </w:r>
      <w:proofErr w:type="spellStart"/>
      <w:r w:rsidRPr="0038327F">
        <w:rPr>
          <w:b/>
          <w:szCs w:val="24"/>
        </w:rPr>
        <w:t>radionuclides</w:t>
      </w:r>
      <w:proofErr w:type="spellEnd"/>
      <w:r w:rsidRPr="0038327F">
        <w:rPr>
          <w:b/>
          <w:szCs w:val="24"/>
        </w:rPr>
        <w:t xml:space="preserve">: Part 3. </w:t>
      </w:r>
      <w:proofErr w:type="spellStart"/>
      <w:r w:rsidRPr="0038327F">
        <w:rPr>
          <w:b/>
          <w:szCs w:val="24"/>
        </w:rPr>
        <w:t>ICRP</w:t>
      </w:r>
      <w:proofErr w:type="spellEnd"/>
      <w:r w:rsidRPr="0038327F">
        <w:rPr>
          <w:b/>
          <w:szCs w:val="24"/>
        </w:rPr>
        <w:t xml:space="preserve"> </w:t>
      </w:r>
      <w:proofErr w:type="spellStart"/>
      <w:r w:rsidRPr="0038327F">
        <w:rPr>
          <w:b/>
          <w:szCs w:val="24"/>
        </w:rPr>
        <w:t>Publication</w:t>
      </w:r>
      <w:proofErr w:type="spellEnd"/>
      <w:r w:rsidRPr="0038327F">
        <w:rPr>
          <w:b/>
          <w:szCs w:val="24"/>
        </w:rPr>
        <w:t xml:space="preserve"> 137. Ann. ICRP 46(3/4)</w:t>
      </w:r>
      <w:r>
        <w:rPr>
          <w:b/>
          <w:szCs w:val="24"/>
        </w:rPr>
        <w:t xml:space="preserve"> vydala nové dávkové konverzní faktory.</w:t>
      </w:r>
    </w:p>
    <w:p w:rsidR="00DE086E" w:rsidRDefault="00E4166B">
      <w:r w:rsidRPr="00E4166B">
        <w:t xml:space="preserve">V České republice jsou v současné době používány </w:t>
      </w:r>
      <w:r w:rsidR="00DE086E">
        <w:t xml:space="preserve">následující </w:t>
      </w:r>
      <w:r w:rsidRPr="00E4166B">
        <w:t>dávkové konverzní faktory</w:t>
      </w:r>
      <w:r w:rsidR="00A62213">
        <w:t xml:space="preserve"> </w:t>
      </w:r>
      <w:r w:rsidRPr="00E4166B">
        <w:t>ve vztahu k objemové aktivitě radonu</w:t>
      </w:r>
      <w:r w:rsidR="00D3221C">
        <w:t xml:space="preserve"> (OAR) za předpokladu rovnováhy faktoru F 0,4</w:t>
      </w:r>
      <w:r w:rsidR="001411FC">
        <w:t xml:space="preserve"> k  ekvivalentní objemové aktivitě radonu (EOAR)</w:t>
      </w:r>
      <w:r w:rsidR="00D3221C">
        <w:rPr>
          <w:lang w:val="en-US"/>
        </w:rPr>
        <w:t>;</w:t>
      </w:r>
      <w:r w:rsidRPr="00E4166B">
        <w:t xml:space="preserve"> </w:t>
      </w:r>
    </w:p>
    <w:p w:rsidR="00DE086E" w:rsidRDefault="00D3221C">
      <w:r w:rsidRPr="00D3221C">
        <w:rPr>
          <w:b/>
        </w:rPr>
        <w:t>2,52</w:t>
      </w:r>
      <w:r>
        <w:t xml:space="preserve"> </w:t>
      </w:r>
      <w:proofErr w:type="spellStart"/>
      <w:r w:rsidR="00E4166B" w:rsidRPr="00E4166B">
        <w:t>nSv</w:t>
      </w:r>
      <w:proofErr w:type="spellEnd"/>
      <w:r w:rsidR="00E4166B" w:rsidRPr="00E4166B">
        <w:t>/(Bq.m-3.h) pro budovy určené k</w:t>
      </w:r>
      <w:r w:rsidR="00E4166B">
        <w:t> bydlení</w:t>
      </w:r>
      <w:r w:rsidR="00E4166B" w:rsidRPr="00E4166B">
        <w:t xml:space="preserve"> a </w:t>
      </w:r>
    </w:p>
    <w:p w:rsidR="00DE086E" w:rsidRDefault="00E4166B">
      <w:r w:rsidRPr="00E4166B">
        <w:rPr>
          <w:b/>
        </w:rPr>
        <w:t xml:space="preserve">3,12 </w:t>
      </w:r>
      <w:r w:rsidRPr="00E4166B">
        <w:t xml:space="preserve"> </w:t>
      </w:r>
      <w:proofErr w:type="spellStart"/>
      <w:r w:rsidRPr="00E4166B">
        <w:t>nSv</w:t>
      </w:r>
      <w:proofErr w:type="spellEnd"/>
      <w:r w:rsidRPr="00E4166B">
        <w:t>/(Bq.m-3.h) pro pracoviště</w:t>
      </w:r>
      <w:r w:rsidR="00DE086E">
        <w:t xml:space="preserve">. </w:t>
      </w:r>
    </w:p>
    <w:p w:rsidR="00110F62" w:rsidRDefault="00DE086E">
      <w:r>
        <w:t xml:space="preserve">Tyto konverzní </w:t>
      </w:r>
      <w:r w:rsidR="00D90880">
        <w:t xml:space="preserve">faktory </w:t>
      </w:r>
      <w:r w:rsidR="00D90880" w:rsidRPr="00E4166B">
        <w:t>byly</w:t>
      </w:r>
      <w:r w:rsidR="00E4166B" w:rsidRPr="00E4166B">
        <w:t xml:space="preserve"> odvozeny z epidemiologických studií s využitím „dávkové konverzní konvence“ reprezentující koeficient celoživotního rizika úmrtí na rakovinu plic vztažené k expozici radonu 2,83.10-4/WLM (ICRP 65, 1993) a celkovou újmu jednotlivce z obyvatelstva vyjádřenou jako koeficient rizika vztažený k efektivní dávce 7,3.10-2/</w:t>
      </w:r>
      <w:proofErr w:type="spellStart"/>
      <w:r w:rsidR="00E4166B" w:rsidRPr="00E4166B">
        <w:t>Sv</w:t>
      </w:r>
      <w:proofErr w:type="spellEnd"/>
      <w:r w:rsidR="00E4166B" w:rsidRPr="00E4166B">
        <w:t xml:space="preserve"> a pro pracovníky 5,6.10-2/</w:t>
      </w:r>
      <w:proofErr w:type="spellStart"/>
      <w:r w:rsidR="00E4166B" w:rsidRPr="00E4166B">
        <w:t>Sv</w:t>
      </w:r>
      <w:proofErr w:type="spellEnd"/>
      <w:r w:rsidR="00E4166B" w:rsidRPr="00E4166B">
        <w:t xml:space="preserve"> (</w:t>
      </w:r>
      <w:proofErr w:type="spellStart"/>
      <w:r w:rsidR="00E4166B" w:rsidRPr="00E4166B">
        <w:t>ICRP</w:t>
      </w:r>
      <w:proofErr w:type="spellEnd"/>
      <w:r w:rsidR="00E4166B" w:rsidRPr="00E4166B">
        <w:t xml:space="preserve"> 60, 1991).</w:t>
      </w:r>
    </w:p>
    <w:p w:rsidR="008A5B51" w:rsidRDefault="008A5B51" w:rsidP="008A5B51">
      <w:r>
        <w:t>Konverzní dávkové faktory se uplatňují při:</w:t>
      </w:r>
    </w:p>
    <w:p w:rsidR="008A5B51" w:rsidRPr="00606F64" w:rsidRDefault="008A5B51" w:rsidP="008A5B51">
      <w:pPr>
        <w:pStyle w:val="Odstavecseseznamem"/>
        <w:numPr>
          <w:ilvl w:val="0"/>
          <w:numId w:val="13"/>
        </w:numPr>
        <w:tabs>
          <w:tab w:val="clear" w:pos="1134"/>
        </w:tabs>
        <w:spacing w:after="160" w:line="259" w:lineRule="auto"/>
        <w:contextualSpacing/>
      </w:pPr>
      <w:r w:rsidRPr="00606F64">
        <w:t>stanovení efektivních dávek pracovníků na pracovištích se zvýšeným ozářením z přírodních zdrojů</w:t>
      </w:r>
      <w:r>
        <w:t xml:space="preserve"> záření </w:t>
      </w:r>
      <w:r w:rsidRPr="00606F64">
        <w:t>(</w:t>
      </w:r>
      <w:r>
        <w:t xml:space="preserve">plánované expoziční situace) </w:t>
      </w:r>
      <w:r w:rsidRPr="00606F64">
        <w:t>nebo se zvýšeným ozářením z</w:t>
      </w:r>
      <w:r>
        <w:t> </w:t>
      </w:r>
      <w:r w:rsidRPr="00606F64">
        <w:t>radonu</w:t>
      </w:r>
      <w:r>
        <w:t xml:space="preserve"> (existující expoziční situace), kde je </w:t>
      </w:r>
      <w:r w:rsidRPr="00606F64">
        <w:t>referenční úroveň stanovena pro veličinu efektivní</w:t>
      </w:r>
      <w:r>
        <w:t xml:space="preserve"> dávka a to na úrovni 6 mSv/rok.</w:t>
      </w:r>
    </w:p>
    <w:p w:rsidR="008A5B51" w:rsidRPr="00606F64" w:rsidRDefault="008A5B51" w:rsidP="008A5B51">
      <w:pPr>
        <w:pStyle w:val="Odstavecseseznamem"/>
        <w:numPr>
          <w:ilvl w:val="0"/>
          <w:numId w:val="13"/>
        </w:numPr>
        <w:tabs>
          <w:tab w:val="clear" w:pos="1134"/>
        </w:tabs>
        <w:spacing w:after="160" w:line="259" w:lineRule="auto"/>
        <w:contextualSpacing/>
      </w:pPr>
      <w:r w:rsidRPr="00606F64">
        <w:t>porovnání úrovně ozáření z různých zdrojů ionizujícího záření (umělé zdroje, lékařské ozáření, přírodní zdroje apod.)</w:t>
      </w:r>
    </w:p>
    <w:p w:rsidR="008A5B51" w:rsidRPr="00606F64" w:rsidRDefault="008A5B51" w:rsidP="008A5B51">
      <w:pPr>
        <w:pStyle w:val="Odstavecseseznamem"/>
        <w:numPr>
          <w:ilvl w:val="0"/>
          <w:numId w:val="13"/>
        </w:numPr>
        <w:tabs>
          <w:tab w:val="clear" w:pos="1134"/>
        </w:tabs>
        <w:spacing w:after="160" w:line="259" w:lineRule="auto"/>
        <w:contextualSpacing/>
      </w:pPr>
      <w:r w:rsidRPr="00606F64">
        <w:t>kombinace různých zdrojů ionizujícího záření a různých expozičních cest pro účely optimalizace radiační ochrany</w:t>
      </w:r>
    </w:p>
    <w:p w:rsidR="00DE086E" w:rsidRDefault="00DE086E" w:rsidP="00A62213">
      <w:r>
        <w:t>Vzhledem k tomu, že v době tvorby nové legislativy v ČR nebylo ještě zcela jasné</w:t>
      </w:r>
      <w:r w:rsidR="008C1E88">
        <w:t>,</w:t>
      </w:r>
      <w:r>
        <w:t xml:space="preserve"> zda a jak se budou radonové konverzní faktory měnit, </w:t>
      </w:r>
      <w:r w:rsidR="00A62213">
        <w:t xml:space="preserve">bylo strategicky rozhodnuto, že </w:t>
      </w:r>
      <w:r w:rsidR="00D90880">
        <w:t>se nebudou v legislativě</w:t>
      </w:r>
      <w:r>
        <w:t xml:space="preserve"> explicitně uv</w:t>
      </w:r>
      <w:r w:rsidR="00D90880">
        <w:t>ádět</w:t>
      </w:r>
      <w:r w:rsidR="00B82895">
        <w:t>,</w:t>
      </w:r>
      <w:r w:rsidR="00A62213">
        <w:t xml:space="preserve"> </w:t>
      </w:r>
      <w:r>
        <w:t xml:space="preserve">ale </w:t>
      </w:r>
      <w:r w:rsidR="00A62213">
        <w:t>jejich změna bude implementována do strategických dokumentů úřadu, takzvaných Doporučení. Tato doporučení jsou metodikami, které popisují postupy měření, která budou generovat věrohodné a srovnatelné podklady pro hodnocení přírodního ozáření a výpočet efektivní dávky, zvláště tam, kde jsou překračovány stanovené referenční úrovně OAR a příkonu prostorového dávkového ekvivalentu.</w:t>
      </w:r>
    </w:p>
    <w:p w:rsidR="00A62213" w:rsidRDefault="00E008A3" w:rsidP="00A62213">
      <w:r>
        <w:t>Referenční úroveň pro OAR ve stavbách (</w:t>
      </w:r>
      <w:r w:rsidRPr="00E008A3">
        <w:t>SMĚRNICE RADY 2013/59/EURATOM</w:t>
      </w:r>
      <w:r>
        <w:t>) by v zemích Evropské unie neměla být vyšší než 300 Bq/m</w:t>
      </w:r>
      <w:r w:rsidRPr="002D4F9B">
        <w:rPr>
          <w:vertAlign w:val="superscript"/>
        </w:rPr>
        <w:t>3</w:t>
      </w:r>
      <w:r>
        <w:t>.  Tato hodnota již reflektovala připravované změny, a proto také došlo ke snížení hodnoty referenční úrovně pro pracoviště na současnou hodnotu 300 Bq/m</w:t>
      </w:r>
      <w:r w:rsidRPr="002D4F9B">
        <w:rPr>
          <w:vertAlign w:val="superscript"/>
        </w:rPr>
        <w:t>3</w:t>
      </w:r>
      <w:r>
        <w:t>.</w:t>
      </w:r>
    </w:p>
    <w:p w:rsidR="00463E40" w:rsidRDefault="00463E40" w:rsidP="00A62213">
      <w:r w:rsidRPr="00463E40">
        <w:t>Česká republika má ve své legislativě stanovenou hodnotu referenční úrovně OAR pro všechny stavby 300 Bq</w:t>
      </w:r>
      <w:r w:rsidRPr="002D4F9B">
        <w:t>/m</w:t>
      </w:r>
      <w:r w:rsidRPr="002D4F9B">
        <w:rPr>
          <w:vertAlign w:val="superscript"/>
        </w:rPr>
        <w:t>3</w:t>
      </w:r>
      <w:r w:rsidRPr="002D4F9B">
        <w:t xml:space="preserve">. </w:t>
      </w:r>
    </w:p>
    <w:p w:rsidR="00463E40" w:rsidRPr="00463E40" w:rsidRDefault="00463E40" w:rsidP="00463E40">
      <w:r>
        <w:lastRenderedPageBreak/>
        <w:t>Referenční úroveň, je úroveň ozáření nebo rizika ozáření v nehodové expoziční situaci nebo v existující expoziční situaci, kterou je nežádoucí překročit; snížením úrovně ozáření nebo rizika ozáření na referenční úroveň nelze mít optimalizaci radiační ochrany za docílenou.</w:t>
      </w:r>
    </w:p>
    <w:p w:rsidR="00DE086E" w:rsidRPr="00B746FB" w:rsidRDefault="00E4166B" w:rsidP="00DE086E">
      <w:pPr>
        <w:rPr>
          <w:b/>
        </w:rPr>
      </w:pPr>
      <w:r>
        <w:t xml:space="preserve">Státní úřad pro jadernou bezpečnost, po zveřejnění nových dávkových konverzních faktorů </w:t>
      </w:r>
      <w:r w:rsidR="00DE086E">
        <w:t xml:space="preserve">v doporučení ICRP 137 </w:t>
      </w:r>
      <w:r>
        <w:t xml:space="preserve">(prosinec 2017), zahájil přípravy na jejich implementaci do stávajících postupů regulace ozáření z radonu. </w:t>
      </w:r>
      <w:r w:rsidR="00DE086E">
        <w:t>Nicméně vzhledem k tomu, že diskuse o nových faktorech, jejich velikosti a zdůvodnění změny stále ještě na mezinárodním poli pokračují</w:t>
      </w:r>
      <w:r w:rsidR="008A4576">
        <w:t>,</w:t>
      </w:r>
      <w:r w:rsidR="00DE086E">
        <w:t xml:space="preserve"> budou až do vydání jasného doporučení ze strany EK </w:t>
      </w:r>
      <w:r w:rsidR="00DE086E">
        <w:rPr>
          <w:b/>
        </w:rPr>
        <w:t>nadále používány pro výpočet e</w:t>
      </w:r>
      <w:r w:rsidR="00DE086E" w:rsidRPr="00B746FB">
        <w:rPr>
          <w:b/>
        </w:rPr>
        <w:t xml:space="preserve">fektivní dávky </w:t>
      </w:r>
      <w:r w:rsidR="00DE086E">
        <w:rPr>
          <w:b/>
        </w:rPr>
        <w:t xml:space="preserve">z radonu </w:t>
      </w:r>
      <w:r w:rsidR="00DE086E" w:rsidRPr="00B746FB">
        <w:rPr>
          <w:b/>
        </w:rPr>
        <w:t>stávající dávkové konverzní faktory.</w:t>
      </w:r>
    </w:p>
    <w:p w:rsidR="008C1E88" w:rsidRDefault="00E4166B" w:rsidP="00E4166B">
      <w:r>
        <w:t xml:space="preserve">V Tabulce </w:t>
      </w:r>
      <w:proofErr w:type="gramStart"/>
      <w:r w:rsidR="00D90880">
        <w:t>č.</w:t>
      </w:r>
      <w:r>
        <w:t xml:space="preserve">1 </w:t>
      </w:r>
      <w:r w:rsidR="00871469">
        <w:t>jsou</w:t>
      </w:r>
      <w:proofErr w:type="gramEnd"/>
      <w:r w:rsidR="00871469">
        <w:t xml:space="preserve"> uvedeny </w:t>
      </w:r>
      <w:r>
        <w:t>příslušn</w:t>
      </w:r>
      <w:r w:rsidR="00871469">
        <w:t>é</w:t>
      </w:r>
      <w:r>
        <w:t xml:space="preserve"> dávkov</w:t>
      </w:r>
      <w:r w:rsidR="00871469">
        <w:t>é</w:t>
      </w:r>
      <w:r>
        <w:t xml:space="preserve"> konverzní faktory a odpovídající roční efektivní </w:t>
      </w:r>
      <w:r w:rsidR="00644C3E">
        <w:t>dávce</w:t>
      </w:r>
      <w:r>
        <w:t xml:space="preserve"> pro standardní dobu pobytu na pracovišti 2000 hodin a doma 7 000 hodin</w:t>
      </w:r>
      <w:r w:rsidR="00871469">
        <w:t xml:space="preserve"> pro vybrané hodnoty OAR na pracovištích a v budovách určených pro bydlení</w:t>
      </w:r>
      <w:r>
        <w:t xml:space="preserve">. Přepokládá se faktor nerovnováhy 0,4 odpovídající běžnému aerosolovému složení atmosféry ve vnitřním prostředí budov. </w:t>
      </w:r>
    </w:p>
    <w:p w:rsidR="00E4166B" w:rsidRDefault="00E4166B" w:rsidP="00E4166B">
      <w:r>
        <w:t xml:space="preserve">Pro porovnání jsou </w:t>
      </w:r>
      <w:r w:rsidR="008C1E88">
        <w:t xml:space="preserve">v druhé tabulce </w:t>
      </w:r>
      <w:r>
        <w:t xml:space="preserve">uvedeny </w:t>
      </w:r>
      <w:r w:rsidR="00871469">
        <w:t xml:space="preserve">také </w:t>
      </w:r>
      <w:r>
        <w:t>výpočty s využitím dávkového konverzního faktoru z publikace ICRP 137 (201</w:t>
      </w:r>
      <w:r w:rsidR="00D3221C">
        <w:t>7</w:t>
      </w:r>
      <w:r>
        <w:t>).</w:t>
      </w:r>
    </w:p>
    <w:p w:rsidR="000E149B" w:rsidRDefault="000E149B" w:rsidP="00E4166B">
      <w:pPr>
        <w:rPr>
          <w:b/>
        </w:rPr>
      </w:pPr>
    </w:p>
    <w:p w:rsidR="000E149B" w:rsidRDefault="00E4166B" w:rsidP="00E4166B">
      <w:r w:rsidRPr="008C6832">
        <w:rPr>
          <w:b/>
        </w:rPr>
        <w:t xml:space="preserve">Tabulka </w:t>
      </w:r>
      <w:r w:rsidR="00D90880">
        <w:rPr>
          <w:b/>
        </w:rPr>
        <w:t xml:space="preserve">č. </w:t>
      </w:r>
      <w:bookmarkStart w:id="0" w:name="_GoBack"/>
      <w:bookmarkEnd w:id="0"/>
      <w:r w:rsidRPr="008C6832">
        <w:rPr>
          <w:b/>
        </w:rPr>
        <w:t>1</w:t>
      </w:r>
      <w:r w:rsidRPr="008C6832">
        <w:t xml:space="preserve"> </w:t>
      </w:r>
    </w:p>
    <w:p w:rsidR="00E4166B" w:rsidRPr="002D4F9B" w:rsidRDefault="00E4166B" w:rsidP="00E4166B">
      <w:pPr>
        <w:rPr>
          <w:b/>
        </w:rPr>
      </w:pPr>
      <w:r w:rsidRPr="002D4F9B">
        <w:rPr>
          <w:b/>
        </w:rPr>
        <w:t>Dávkové konverzní faktory</w:t>
      </w:r>
    </w:p>
    <w:p w:rsidR="00E4166B" w:rsidRDefault="00E4166B" w:rsidP="00E4166B">
      <w:r>
        <w:t>Efektivní dávka</w:t>
      </w:r>
      <w:r w:rsidRPr="0066506A">
        <w:t xml:space="preserve"> = </w:t>
      </w:r>
      <w:r>
        <w:t>objemová aktivita radonu (OAR)</w:t>
      </w:r>
      <w:r w:rsidRPr="0066506A">
        <w:t xml:space="preserve"> × </w:t>
      </w:r>
      <w:r>
        <w:t xml:space="preserve">doba pobytu </w:t>
      </w:r>
      <w:r w:rsidRPr="0066506A">
        <w:t xml:space="preserve">× </w:t>
      </w:r>
      <w:r>
        <w:t>dávkový konverzní faktor</w:t>
      </w:r>
    </w:p>
    <w:p w:rsidR="000E149B" w:rsidRDefault="000E149B" w:rsidP="00E4166B">
      <w:pPr>
        <w:rPr>
          <w:b/>
        </w:rPr>
      </w:pPr>
    </w:p>
    <w:p w:rsidR="00E4166B" w:rsidRPr="00E4166B" w:rsidRDefault="00E4166B" w:rsidP="00E4166B">
      <w:pPr>
        <w:rPr>
          <w:b/>
        </w:rPr>
      </w:pPr>
      <w:r w:rsidRPr="00E4166B">
        <w:rPr>
          <w:b/>
        </w:rPr>
        <w:t xml:space="preserve">Stávající konverzní faktory pro </w:t>
      </w:r>
      <w:r w:rsidRPr="00E4166B">
        <w:rPr>
          <w:b/>
          <w:u w:val="single"/>
        </w:rPr>
        <w:t>OAR</w:t>
      </w:r>
    </w:p>
    <w:tbl>
      <w:tblPr>
        <w:tblStyle w:val="Mkatabulky"/>
        <w:tblW w:w="9062" w:type="dxa"/>
        <w:tblLook w:val="0420" w:firstRow="1" w:lastRow="0" w:firstColumn="0" w:lastColumn="0" w:noHBand="0" w:noVBand="1"/>
      </w:tblPr>
      <w:tblGrid>
        <w:gridCol w:w="2945"/>
        <w:gridCol w:w="1247"/>
        <w:gridCol w:w="1899"/>
        <w:gridCol w:w="1145"/>
        <w:gridCol w:w="1826"/>
      </w:tblGrid>
      <w:tr w:rsidR="00E4166B" w:rsidRPr="00D92701" w:rsidTr="002D4F9B">
        <w:trPr>
          <w:trHeight w:val="1118"/>
        </w:trPr>
        <w:tc>
          <w:tcPr>
            <w:tcW w:w="2945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Typ</w:t>
            </w:r>
            <w:r>
              <w:rPr>
                <w:lang w:eastAsia="cs-CZ"/>
              </w:rPr>
              <w:t xml:space="preserve"> </w:t>
            </w:r>
            <w:r w:rsidRPr="004E043C">
              <w:rPr>
                <w:lang w:eastAsia="cs-CZ"/>
              </w:rPr>
              <w:t>expozice</w:t>
            </w:r>
          </w:p>
        </w:tc>
        <w:tc>
          <w:tcPr>
            <w:tcW w:w="1247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OAR (Bq.m-3)</w:t>
            </w:r>
          </w:p>
        </w:tc>
        <w:tc>
          <w:tcPr>
            <w:tcW w:w="1899" w:type="dxa"/>
            <w:shd w:val="clear" w:color="auto" w:fill="DDD9C3" w:themeFill="background2" w:themeFillShade="E6"/>
            <w:hideMark/>
          </w:tcPr>
          <w:p w:rsidR="00E4166B" w:rsidRPr="00D92701" w:rsidRDefault="00E4166B" w:rsidP="003549A2">
            <w:pPr>
              <w:rPr>
                <w:lang w:eastAsia="cs-CZ"/>
              </w:rPr>
            </w:pPr>
            <w:r w:rsidRPr="00D92701">
              <w:rPr>
                <w:lang w:eastAsia="cs-CZ"/>
              </w:rPr>
              <w:t>Dávkový konverzní faktor</w:t>
            </w:r>
          </w:p>
          <w:p w:rsidR="00E4166B" w:rsidRPr="004E043C" w:rsidRDefault="00E4166B" w:rsidP="003549A2">
            <w:pPr>
              <w:rPr>
                <w:lang w:eastAsia="cs-CZ"/>
              </w:rPr>
            </w:pPr>
            <w:r w:rsidRPr="00D92701">
              <w:rPr>
                <w:lang w:eastAsia="cs-CZ"/>
              </w:rPr>
              <w:t>(</w:t>
            </w:r>
            <w:proofErr w:type="spellStart"/>
            <w:r w:rsidRPr="004E043C">
              <w:rPr>
                <w:lang w:eastAsia="cs-CZ"/>
              </w:rPr>
              <w:t>nSv</w:t>
            </w:r>
            <w:proofErr w:type="spellEnd"/>
            <w:r w:rsidRPr="00D92701">
              <w:rPr>
                <w:lang w:eastAsia="cs-CZ"/>
              </w:rPr>
              <w:t>/</w:t>
            </w:r>
            <w:r w:rsidRPr="004E043C">
              <w:rPr>
                <w:lang w:eastAsia="cs-CZ"/>
              </w:rPr>
              <w:t>Bq</w:t>
            </w:r>
            <w:r w:rsidRPr="00D92701">
              <w:rPr>
                <w:lang w:eastAsia="cs-CZ"/>
              </w:rPr>
              <w:t>.</w:t>
            </w:r>
            <w:r w:rsidRPr="004E043C">
              <w:rPr>
                <w:lang w:eastAsia="cs-CZ"/>
              </w:rPr>
              <w:t>h.m</w:t>
            </w:r>
            <w:r w:rsidRPr="00D92701">
              <w:rPr>
                <w:vertAlign w:val="superscript"/>
                <w:lang w:eastAsia="cs-CZ"/>
              </w:rPr>
              <w:t>-</w:t>
            </w:r>
            <w:r w:rsidRPr="004E043C">
              <w:rPr>
                <w:vertAlign w:val="superscript"/>
                <w:lang w:eastAsia="cs-CZ"/>
              </w:rPr>
              <w:t>3</w:t>
            </w:r>
            <w:r w:rsidRPr="00D92701">
              <w:rPr>
                <w:lang w:eastAsia="cs-CZ"/>
              </w:rPr>
              <w:t>)</w:t>
            </w:r>
          </w:p>
        </w:tc>
        <w:tc>
          <w:tcPr>
            <w:tcW w:w="1145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Doba pobytu (h)</w:t>
            </w:r>
          </w:p>
        </w:tc>
        <w:tc>
          <w:tcPr>
            <w:tcW w:w="1826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Roční efektivní dávka</w:t>
            </w:r>
          </w:p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(mSv)</w:t>
            </w:r>
          </w:p>
        </w:tc>
      </w:tr>
      <w:tr w:rsidR="00E4166B" w:rsidRPr="00D92701" w:rsidTr="002D4F9B">
        <w:trPr>
          <w:trHeight w:val="584"/>
        </w:trPr>
        <w:tc>
          <w:tcPr>
            <w:tcW w:w="2945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Byty</w:t>
            </w:r>
          </w:p>
        </w:tc>
        <w:tc>
          <w:tcPr>
            <w:tcW w:w="1247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D92701">
              <w:rPr>
                <w:lang w:eastAsia="cs-CZ"/>
              </w:rPr>
              <w:t>300</w:t>
            </w:r>
          </w:p>
        </w:tc>
        <w:tc>
          <w:tcPr>
            <w:tcW w:w="1899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2,52</w:t>
            </w:r>
          </w:p>
        </w:tc>
        <w:tc>
          <w:tcPr>
            <w:tcW w:w="1145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7000</w:t>
            </w:r>
          </w:p>
        </w:tc>
        <w:tc>
          <w:tcPr>
            <w:tcW w:w="1826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D92701">
              <w:rPr>
                <w:lang w:eastAsia="cs-CZ"/>
              </w:rPr>
              <w:t>5</w:t>
            </w:r>
            <w:r w:rsidRPr="004E043C">
              <w:rPr>
                <w:lang w:eastAsia="cs-CZ"/>
              </w:rPr>
              <w:t>,</w:t>
            </w:r>
            <w:r w:rsidRPr="00D92701">
              <w:rPr>
                <w:lang w:eastAsia="cs-CZ"/>
              </w:rPr>
              <w:t>29</w:t>
            </w:r>
            <w:r w:rsidRPr="004E043C">
              <w:rPr>
                <w:lang w:eastAsia="cs-CZ"/>
              </w:rPr>
              <w:t xml:space="preserve"> (</w:t>
            </w:r>
            <w:r w:rsidRPr="00D92701">
              <w:rPr>
                <w:lang w:eastAsia="cs-CZ"/>
              </w:rPr>
              <w:t>5,3</w:t>
            </w:r>
            <w:r w:rsidRPr="004E043C">
              <w:rPr>
                <w:lang w:eastAsia="cs-CZ"/>
              </w:rPr>
              <w:t xml:space="preserve"> mSv)</w:t>
            </w:r>
          </w:p>
        </w:tc>
      </w:tr>
      <w:tr w:rsidR="00E4166B" w:rsidRPr="00D92701" w:rsidTr="002D4F9B">
        <w:trPr>
          <w:trHeight w:val="584"/>
        </w:trPr>
        <w:tc>
          <w:tcPr>
            <w:tcW w:w="2945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Byty</w:t>
            </w:r>
            <w:r w:rsidRPr="00D92701">
              <w:rPr>
                <w:lang w:eastAsia="cs-CZ"/>
              </w:rPr>
              <w:t>*</w:t>
            </w:r>
          </w:p>
        </w:tc>
        <w:tc>
          <w:tcPr>
            <w:tcW w:w="1247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118</w:t>
            </w:r>
          </w:p>
        </w:tc>
        <w:tc>
          <w:tcPr>
            <w:tcW w:w="1899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2,52</w:t>
            </w:r>
          </w:p>
        </w:tc>
        <w:tc>
          <w:tcPr>
            <w:tcW w:w="1145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7000</w:t>
            </w:r>
          </w:p>
        </w:tc>
        <w:tc>
          <w:tcPr>
            <w:tcW w:w="1826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2,08 (2 mSv)</w:t>
            </w:r>
          </w:p>
        </w:tc>
      </w:tr>
      <w:tr w:rsidR="00E4166B" w:rsidRPr="00D92701" w:rsidTr="002D4F9B">
        <w:trPr>
          <w:trHeight w:val="584"/>
        </w:trPr>
        <w:tc>
          <w:tcPr>
            <w:tcW w:w="2945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Pracoviště</w:t>
            </w:r>
          </w:p>
        </w:tc>
        <w:tc>
          <w:tcPr>
            <w:tcW w:w="1247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1000</w:t>
            </w:r>
          </w:p>
        </w:tc>
        <w:tc>
          <w:tcPr>
            <w:tcW w:w="1899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3,12</w:t>
            </w:r>
          </w:p>
        </w:tc>
        <w:tc>
          <w:tcPr>
            <w:tcW w:w="1145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2000</w:t>
            </w:r>
          </w:p>
        </w:tc>
        <w:tc>
          <w:tcPr>
            <w:tcW w:w="1826" w:type="dxa"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6,2 (6 mSv)</w:t>
            </w:r>
          </w:p>
        </w:tc>
      </w:tr>
      <w:tr w:rsidR="00E4166B" w:rsidRPr="00D92701" w:rsidTr="002D4F9B">
        <w:trPr>
          <w:trHeight w:val="584"/>
        </w:trPr>
        <w:tc>
          <w:tcPr>
            <w:tcW w:w="2945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Pracoviště</w:t>
            </w:r>
          </w:p>
        </w:tc>
        <w:tc>
          <w:tcPr>
            <w:tcW w:w="1247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300</w:t>
            </w:r>
          </w:p>
        </w:tc>
        <w:tc>
          <w:tcPr>
            <w:tcW w:w="1899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3,12</w:t>
            </w:r>
          </w:p>
        </w:tc>
        <w:tc>
          <w:tcPr>
            <w:tcW w:w="1145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2000</w:t>
            </w:r>
          </w:p>
        </w:tc>
        <w:tc>
          <w:tcPr>
            <w:tcW w:w="1826" w:type="dxa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1,87 (2 mSv)</w:t>
            </w:r>
          </w:p>
        </w:tc>
      </w:tr>
    </w:tbl>
    <w:p w:rsidR="00E4166B" w:rsidRDefault="00E4166B" w:rsidP="00E4166B"/>
    <w:p w:rsidR="000E149B" w:rsidRDefault="000E149B" w:rsidP="00E4166B">
      <w:pPr>
        <w:rPr>
          <w:b/>
        </w:rPr>
      </w:pPr>
    </w:p>
    <w:p w:rsidR="000E149B" w:rsidRDefault="000E149B" w:rsidP="00E4166B">
      <w:pPr>
        <w:rPr>
          <w:b/>
        </w:rPr>
      </w:pPr>
    </w:p>
    <w:p w:rsidR="000E149B" w:rsidRDefault="000E149B" w:rsidP="00E4166B">
      <w:pPr>
        <w:rPr>
          <w:b/>
        </w:rPr>
      </w:pPr>
    </w:p>
    <w:p w:rsidR="000E149B" w:rsidRDefault="000E149B" w:rsidP="00E4166B">
      <w:pPr>
        <w:rPr>
          <w:b/>
        </w:rPr>
      </w:pPr>
    </w:p>
    <w:p w:rsidR="00E4166B" w:rsidRPr="00D3221C" w:rsidRDefault="00E4166B" w:rsidP="00E4166B">
      <w:pPr>
        <w:rPr>
          <w:b/>
        </w:rPr>
      </w:pPr>
      <w:r w:rsidRPr="00D3221C">
        <w:rPr>
          <w:b/>
        </w:rPr>
        <w:t xml:space="preserve">Nové konverzní faktory podle </w:t>
      </w:r>
      <w:proofErr w:type="spellStart"/>
      <w:r w:rsidRPr="00D3221C">
        <w:rPr>
          <w:b/>
        </w:rPr>
        <w:t>ICRP</w:t>
      </w:r>
      <w:proofErr w:type="spellEnd"/>
      <w:r w:rsidRPr="00D3221C">
        <w:rPr>
          <w:b/>
        </w:rPr>
        <w:t xml:space="preserve"> 137, 2017</w:t>
      </w:r>
    </w:p>
    <w:tbl>
      <w:tblPr>
        <w:tblStyle w:val="Mkatabulky"/>
        <w:tblW w:w="9062" w:type="dxa"/>
        <w:tblLook w:val="0420" w:firstRow="1" w:lastRow="0" w:firstColumn="0" w:lastColumn="0" w:noHBand="0" w:noVBand="1"/>
      </w:tblPr>
      <w:tblGrid>
        <w:gridCol w:w="2945"/>
        <w:gridCol w:w="1247"/>
        <w:gridCol w:w="1899"/>
        <w:gridCol w:w="1145"/>
        <w:gridCol w:w="1826"/>
      </w:tblGrid>
      <w:tr w:rsidR="00E4166B" w:rsidRPr="00D92701" w:rsidTr="002D4F9B">
        <w:trPr>
          <w:trHeight w:val="584"/>
        </w:trPr>
        <w:tc>
          <w:tcPr>
            <w:tcW w:w="2945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Typ</w:t>
            </w:r>
            <w:r>
              <w:rPr>
                <w:lang w:eastAsia="cs-CZ"/>
              </w:rPr>
              <w:t xml:space="preserve"> </w:t>
            </w:r>
            <w:r w:rsidRPr="004E043C">
              <w:rPr>
                <w:lang w:eastAsia="cs-CZ"/>
              </w:rPr>
              <w:t>expozice</w:t>
            </w:r>
          </w:p>
        </w:tc>
        <w:tc>
          <w:tcPr>
            <w:tcW w:w="1247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OAR (Bq.m-3)</w:t>
            </w:r>
          </w:p>
        </w:tc>
        <w:tc>
          <w:tcPr>
            <w:tcW w:w="1899" w:type="dxa"/>
            <w:shd w:val="clear" w:color="auto" w:fill="DDD9C3" w:themeFill="background2" w:themeFillShade="E6"/>
            <w:hideMark/>
          </w:tcPr>
          <w:p w:rsidR="00E4166B" w:rsidRPr="00D92701" w:rsidRDefault="00E4166B" w:rsidP="003549A2">
            <w:pPr>
              <w:rPr>
                <w:lang w:eastAsia="cs-CZ"/>
              </w:rPr>
            </w:pPr>
            <w:r w:rsidRPr="00D92701">
              <w:rPr>
                <w:lang w:eastAsia="cs-CZ"/>
              </w:rPr>
              <w:t>Dávkový konverzní faktor</w:t>
            </w:r>
          </w:p>
          <w:p w:rsidR="00E4166B" w:rsidRPr="004E043C" w:rsidRDefault="00E4166B" w:rsidP="003549A2">
            <w:pPr>
              <w:rPr>
                <w:lang w:eastAsia="cs-CZ"/>
              </w:rPr>
            </w:pPr>
            <w:r w:rsidRPr="00D92701">
              <w:rPr>
                <w:lang w:eastAsia="cs-CZ"/>
              </w:rPr>
              <w:t>(</w:t>
            </w:r>
            <w:proofErr w:type="spellStart"/>
            <w:r w:rsidRPr="004E043C">
              <w:rPr>
                <w:lang w:eastAsia="cs-CZ"/>
              </w:rPr>
              <w:t>nSv</w:t>
            </w:r>
            <w:proofErr w:type="spellEnd"/>
            <w:r w:rsidRPr="00D92701">
              <w:rPr>
                <w:lang w:eastAsia="cs-CZ"/>
              </w:rPr>
              <w:t>/</w:t>
            </w:r>
            <w:r w:rsidRPr="004E043C">
              <w:rPr>
                <w:lang w:eastAsia="cs-CZ"/>
              </w:rPr>
              <w:t>Bq</w:t>
            </w:r>
            <w:r w:rsidRPr="00D92701">
              <w:rPr>
                <w:lang w:eastAsia="cs-CZ"/>
              </w:rPr>
              <w:t>.</w:t>
            </w:r>
            <w:r w:rsidRPr="004E043C">
              <w:rPr>
                <w:lang w:eastAsia="cs-CZ"/>
              </w:rPr>
              <w:t>h.m</w:t>
            </w:r>
            <w:r w:rsidRPr="00D92701">
              <w:rPr>
                <w:vertAlign w:val="superscript"/>
                <w:lang w:eastAsia="cs-CZ"/>
              </w:rPr>
              <w:t>-</w:t>
            </w:r>
            <w:r w:rsidRPr="004E043C">
              <w:rPr>
                <w:vertAlign w:val="superscript"/>
                <w:lang w:eastAsia="cs-CZ"/>
              </w:rPr>
              <w:t>3</w:t>
            </w:r>
            <w:r w:rsidRPr="00D92701">
              <w:rPr>
                <w:lang w:eastAsia="cs-CZ"/>
              </w:rPr>
              <w:t>)</w:t>
            </w:r>
          </w:p>
        </w:tc>
        <w:tc>
          <w:tcPr>
            <w:tcW w:w="1145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Doba pobytu (h)</w:t>
            </w:r>
          </w:p>
        </w:tc>
        <w:tc>
          <w:tcPr>
            <w:tcW w:w="1826" w:type="dxa"/>
            <w:shd w:val="clear" w:color="auto" w:fill="DDD9C3" w:themeFill="background2" w:themeFillShade="E6"/>
            <w:hideMark/>
          </w:tcPr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Roční efektivní dávka</w:t>
            </w:r>
          </w:p>
          <w:p w:rsidR="00E4166B" w:rsidRPr="004E043C" w:rsidRDefault="00E4166B" w:rsidP="003549A2">
            <w:pPr>
              <w:rPr>
                <w:lang w:eastAsia="cs-CZ"/>
              </w:rPr>
            </w:pPr>
            <w:r w:rsidRPr="004E043C">
              <w:rPr>
                <w:lang w:eastAsia="cs-CZ"/>
              </w:rPr>
              <w:t>(mSv)</w:t>
            </w:r>
          </w:p>
        </w:tc>
      </w:tr>
      <w:tr w:rsidR="00E4166B" w:rsidRPr="00D92701" w:rsidTr="002D4F9B">
        <w:trPr>
          <w:trHeight w:val="584"/>
        </w:trPr>
        <w:tc>
          <w:tcPr>
            <w:tcW w:w="2945" w:type="dxa"/>
            <w:hideMark/>
          </w:tcPr>
          <w:p w:rsidR="00E4166B" w:rsidRPr="000E149B" w:rsidRDefault="00E4166B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Byty</w:t>
            </w:r>
          </w:p>
        </w:tc>
        <w:tc>
          <w:tcPr>
            <w:tcW w:w="1247" w:type="dxa"/>
            <w:hideMark/>
          </w:tcPr>
          <w:p w:rsidR="00E4166B" w:rsidRPr="000E149B" w:rsidRDefault="00E4166B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300</w:t>
            </w:r>
          </w:p>
        </w:tc>
        <w:tc>
          <w:tcPr>
            <w:tcW w:w="1899" w:type="dxa"/>
            <w:hideMark/>
          </w:tcPr>
          <w:p w:rsidR="00E4166B" w:rsidRPr="000E149B" w:rsidRDefault="00E4166B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6,7</w:t>
            </w:r>
          </w:p>
        </w:tc>
        <w:tc>
          <w:tcPr>
            <w:tcW w:w="1145" w:type="dxa"/>
            <w:hideMark/>
          </w:tcPr>
          <w:p w:rsidR="00E4166B" w:rsidRPr="000E149B" w:rsidRDefault="00E4166B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7000</w:t>
            </w:r>
          </w:p>
        </w:tc>
        <w:tc>
          <w:tcPr>
            <w:tcW w:w="1826" w:type="dxa"/>
            <w:hideMark/>
          </w:tcPr>
          <w:p w:rsidR="00E4166B" w:rsidRPr="000E149B" w:rsidRDefault="00E4166B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14,07 (</w:t>
            </w:r>
            <w:r w:rsidRPr="000E149B">
              <w:rPr>
                <w:bCs/>
                <w:lang w:eastAsia="cs-CZ"/>
              </w:rPr>
              <w:t xml:space="preserve">14 </w:t>
            </w:r>
            <w:proofErr w:type="spellStart"/>
            <w:r w:rsidRPr="000E149B">
              <w:rPr>
                <w:bCs/>
                <w:lang w:eastAsia="cs-CZ"/>
              </w:rPr>
              <w:t>mSv</w:t>
            </w:r>
            <w:proofErr w:type="spellEnd"/>
            <w:r w:rsidRPr="000E149B">
              <w:rPr>
                <w:lang w:eastAsia="cs-CZ"/>
              </w:rPr>
              <w:t>)</w:t>
            </w:r>
          </w:p>
        </w:tc>
      </w:tr>
      <w:tr w:rsidR="00FF07D9" w:rsidRPr="00D92701" w:rsidTr="002D4F9B">
        <w:trPr>
          <w:trHeight w:val="806"/>
        </w:trPr>
        <w:tc>
          <w:tcPr>
            <w:tcW w:w="2945" w:type="dxa"/>
          </w:tcPr>
          <w:p w:rsidR="00FF07D9" w:rsidRPr="002D4F9B" w:rsidRDefault="00FF07D9" w:rsidP="002D4F9B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lang w:eastAsia="cs-CZ"/>
              </w:rPr>
            </w:pPr>
            <w:r w:rsidRPr="000E149B">
              <w:rPr>
                <w:rFonts w:eastAsia="Times New Roman" w:cs="Arial"/>
                <w:color w:val="000000" w:themeColor="dark1"/>
                <w:kern w:val="24"/>
                <w:lang w:eastAsia="cs-CZ"/>
              </w:rPr>
              <w:t>Pracoviště</w:t>
            </w:r>
          </w:p>
        </w:tc>
        <w:tc>
          <w:tcPr>
            <w:tcW w:w="1247" w:type="dxa"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rFonts w:eastAsia="Times New Roman" w:cs="Arial"/>
                <w:color w:val="000000" w:themeColor="dark1"/>
                <w:kern w:val="24"/>
                <w:lang w:eastAsia="cs-CZ"/>
              </w:rPr>
              <w:t>300</w:t>
            </w:r>
          </w:p>
        </w:tc>
        <w:tc>
          <w:tcPr>
            <w:tcW w:w="1899" w:type="dxa"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rFonts w:eastAsia="Times New Roman" w:cs="Arial"/>
                <w:color w:val="000000" w:themeColor="dark1"/>
                <w:kern w:val="24"/>
                <w:lang w:eastAsia="cs-CZ"/>
              </w:rPr>
              <w:t>6,7</w:t>
            </w:r>
          </w:p>
        </w:tc>
        <w:tc>
          <w:tcPr>
            <w:tcW w:w="1145" w:type="dxa"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rFonts w:eastAsia="Times New Roman" w:cs="Arial"/>
                <w:color w:val="000000" w:themeColor="dark1"/>
                <w:kern w:val="24"/>
                <w:lang w:eastAsia="cs-CZ"/>
              </w:rPr>
              <w:t>2000</w:t>
            </w:r>
          </w:p>
        </w:tc>
        <w:tc>
          <w:tcPr>
            <w:tcW w:w="1826" w:type="dxa"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rFonts w:eastAsia="Times New Roman" w:cs="Arial"/>
                <w:color w:val="000000" w:themeColor="dark1"/>
                <w:kern w:val="24"/>
                <w:lang w:eastAsia="cs-CZ"/>
              </w:rPr>
              <w:t>4,02 (4</w:t>
            </w:r>
            <w:r w:rsidRPr="000E149B">
              <w:rPr>
                <w:rFonts w:eastAsia="Times New Roman" w:cs="Arial"/>
                <w:bCs/>
                <w:color w:val="000000" w:themeColor="dark1"/>
                <w:kern w:val="24"/>
                <w:lang w:eastAsia="cs-CZ"/>
              </w:rPr>
              <w:t xml:space="preserve"> </w:t>
            </w:r>
            <w:proofErr w:type="spellStart"/>
            <w:r w:rsidRPr="000E149B">
              <w:rPr>
                <w:rFonts w:eastAsia="Times New Roman" w:cs="Arial"/>
                <w:bCs/>
                <w:color w:val="000000" w:themeColor="dark1"/>
                <w:kern w:val="24"/>
                <w:lang w:eastAsia="cs-CZ"/>
              </w:rPr>
              <w:t>mSv</w:t>
            </w:r>
            <w:proofErr w:type="spellEnd"/>
            <w:r w:rsidRPr="000E149B">
              <w:rPr>
                <w:rFonts w:eastAsia="Times New Roman" w:cs="Arial"/>
                <w:color w:val="000000" w:themeColor="dark1"/>
                <w:kern w:val="24"/>
                <w:lang w:eastAsia="cs-CZ"/>
              </w:rPr>
              <w:t>)</w:t>
            </w:r>
          </w:p>
        </w:tc>
      </w:tr>
      <w:tr w:rsidR="00FF07D9" w:rsidRPr="00D92701" w:rsidTr="002D4F9B">
        <w:trPr>
          <w:trHeight w:val="806"/>
        </w:trPr>
        <w:tc>
          <w:tcPr>
            <w:tcW w:w="2945" w:type="dxa"/>
            <w:hideMark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Pracoviště se zvýšenou fyzickou aktivitou; jeskyně</w:t>
            </w:r>
          </w:p>
        </w:tc>
        <w:tc>
          <w:tcPr>
            <w:tcW w:w="1247" w:type="dxa"/>
            <w:hideMark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300</w:t>
            </w:r>
          </w:p>
        </w:tc>
        <w:tc>
          <w:tcPr>
            <w:tcW w:w="1899" w:type="dxa"/>
            <w:hideMark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13</w:t>
            </w:r>
          </w:p>
        </w:tc>
        <w:tc>
          <w:tcPr>
            <w:tcW w:w="1145" w:type="dxa"/>
            <w:hideMark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2000</w:t>
            </w:r>
          </w:p>
        </w:tc>
        <w:tc>
          <w:tcPr>
            <w:tcW w:w="1826" w:type="dxa"/>
            <w:hideMark/>
          </w:tcPr>
          <w:p w:rsidR="00FF07D9" w:rsidRPr="000E149B" w:rsidRDefault="00FF07D9" w:rsidP="003549A2">
            <w:pPr>
              <w:rPr>
                <w:lang w:eastAsia="cs-CZ"/>
              </w:rPr>
            </w:pPr>
            <w:r w:rsidRPr="000E149B">
              <w:rPr>
                <w:lang w:eastAsia="cs-CZ"/>
              </w:rPr>
              <w:t>7,8 (</w:t>
            </w:r>
            <w:r w:rsidRPr="000E149B">
              <w:rPr>
                <w:bCs/>
                <w:lang w:eastAsia="cs-CZ"/>
              </w:rPr>
              <w:t xml:space="preserve">8 </w:t>
            </w:r>
            <w:proofErr w:type="spellStart"/>
            <w:r w:rsidRPr="000E149B">
              <w:rPr>
                <w:bCs/>
                <w:lang w:eastAsia="cs-CZ"/>
              </w:rPr>
              <w:t>mSv</w:t>
            </w:r>
            <w:proofErr w:type="spellEnd"/>
            <w:r w:rsidRPr="000E149B">
              <w:rPr>
                <w:lang w:eastAsia="cs-CZ"/>
              </w:rPr>
              <w:t>)</w:t>
            </w:r>
          </w:p>
        </w:tc>
      </w:tr>
    </w:tbl>
    <w:p w:rsidR="00E4166B" w:rsidRDefault="00E4166B" w:rsidP="00E4166B">
      <w:pPr>
        <w:rPr>
          <w:lang w:eastAsia="cs-CZ"/>
        </w:rPr>
      </w:pPr>
      <w:r w:rsidRPr="008C6832">
        <w:t xml:space="preserve"> </w:t>
      </w:r>
      <w:r w:rsidRPr="008C6832">
        <w:rPr>
          <w:lang w:eastAsia="cs-CZ"/>
        </w:rPr>
        <w:t>* Průměrná hodnota OAR v bytovém fondu ČR (reprezentativn</w:t>
      </w:r>
      <w:r>
        <w:rPr>
          <w:lang w:eastAsia="cs-CZ"/>
        </w:rPr>
        <w:t>í</w:t>
      </w:r>
      <w:r w:rsidRPr="008C6832">
        <w:rPr>
          <w:lang w:eastAsia="cs-CZ"/>
        </w:rPr>
        <w:t xml:space="preserve"> průzkum, 1992-93)</w:t>
      </w:r>
    </w:p>
    <w:p w:rsidR="00E4166B" w:rsidRDefault="00E4166B" w:rsidP="00E4166B"/>
    <w:p w:rsidR="00E4166B" w:rsidRPr="008C6832" w:rsidRDefault="00E4166B" w:rsidP="00E4166B">
      <w:r w:rsidRPr="008C6832">
        <w:t>Reference</w:t>
      </w:r>
    </w:p>
    <w:p w:rsidR="00E4166B" w:rsidRPr="008C6832" w:rsidRDefault="00E4166B" w:rsidP="00E4166B">
      <w:proofErr w:type="spellStart"/>
      <w:r>
        <w:rPr>
          <w:i/>
        </w:rPr>
        <w:t>ICRP</w:t>
      </w:r>
      <w:proofErr w:type="spellEnd"/>
      <w:r>
        <w:rPr>
          <w:i/>
        </w:rPr>
        <w:t xml:space="preserve"> 60</w:t>
      </w:r>
      <w:r w:rsidRPr="008C6832">
        <w:t xml:space="preserve">, International </w:t>
      </w:r>
      <w:proofErr w:type="spellStart"/>
      <w:r w:rsidRPr="008C6832">
        <w:t>Commission</w:t>
      </w:r>
      <w:proofErr w:type="spellEnd"/>
      <w:r w:rsidRPr="008C6832">
        <w:t xml:space="preserve"> on </w:t>
      </w:r>
      <w:proofErr w:type="spellStart"/>
      <w:r w:rsidRPr="008C6832">
        <w:t>Radiological</w:t>
      </w:r>
      <w:proofErr w:type="spellEnd"/>
      <w:r w:rsidRPr="008C6832">
        <w:t xml:space="preserve"> </w:t>
      </w:r>
      <w:proofErr w:type="spellStart"/>
      <w:r w:rsidRPr="008C6832">
        <w:t>Protection</w:t>
      </w:r>
      <w:proofErr w:type="spellEnd"/>
      <w:r w:rsidRPr="008C6832">
        <w:t xml:space="preserve"> (</w:t>
      </w:r>
      <w:proofErr w:type="spellStart"/>
      <w:r w:rsidRPr="008C6832">
        <w:t>ICRP</w:t>
      </w:r>
      <w:proofErr w:type="spellEnd"/>
      <w:r w:rsidRPr="008C6832">
        <w:t xml:space="preserve">). 1990 </w:t>
      </w:r>
      <w:proofErr w:type="spellStart"/>
      <w:r w:rsidRPr="008C6832">
        <w:t>Recommendations</w:t>
      </w:r>
      <w:proofErr w:type="spellEnd"/>
      <w:r w:rsidRPr="008C6832">
        <w:t xml:space="preserve"> </w:t>
      </w:r>
      <w:proofErr w:type="spellStart"/>
      <w:r w:rsidRPr="008C6832">
        <w:t>of</w:t>
      </w:r>
      <w:proofErr w:type="spellEnd"/>
      <w:r w:rsidRPr="008C6832">
        <w:t xml:space="preserve"> </w:t>
      </w:r>
      <w:proofErr w:type="spellStart"/>
      <w:r w:rsidRPr="008C6832">
        <w:t>the</w:t>
      </w:r>
      <w:proofErr w:type="spellEnd"/>
      <w:r w:rsidRPr="008C6832">
        <w:t xml:space="preserve"> International </w:t>
      </w:r>
      <w:proofErr w:type="spellStart"/>
      <w:r w:rsidRPr="008C6832">
        <w:t>Commission</w:t>
      </w:r>
      <w:proofErr w:type="spellEnd"/>
      <w:r w:rsidRPr="008C6832">
        <w:t xml:space="preserve"> on </w:t>
      </w:r>
      <w:proofErr w:type="spellStart"/>
      <w:r w:rsidRPr="008C6832">
        <w:t>Radiological</w:t>
      </w:r>
      <w:proofErr w:type="spellEnd"/>
      <w:r w:rsidRPr="008C6832">
        <w:t xml:space="preserve"> </w:t>
      </w:r>
      <w:proofErr w:type="spellStart"/>
      <w:r w:rsidRPr="008C6832">
        <w:t>Protection</w:t>
      </w:r>
      <w:proofErr w:type="spellEnd"/>
      <w:r w:rsidRPr="008C6832">
        <w:t xml:space="preserve">. </w:t>
      </w:r>
      <w:proofErr w:type="spellStart"/>
      <w:r w:rsidRPr="008C6832">
        <w:t>ICRP</w:t>
      </w:r>
      <w:proofErr w:type="spellEnd"/>
      <w:r w:rsidRPr="008C6832">
        <w:t xml:space="preserve"> </w:t>
      </w:r>
      <w:proofErr w:type="spellStart"/>
      <w:r w:rsidRPr="008C6832">
        <w:t>Publication</w:t>
      </w:r>
      <w:proofErr w:type="spellEnd"/>
      <w:r w:rsidRPr="008C6832">
        <w:t xml:space="preserve"> 60, Ann. </w:t>
      </w:r>
      <w:proofErr w:type="spellStart"/>
      <w:r w:rsidRPr="008C6832">
        <w:t>ICRP</w:t>
      </w:r>
      <w:proofErr w:type="spellEnd"/>
      <w:r w:rsidRPr="008C6832">
        <w:t xml:space="preserve"> 21(1-3), Pergamon </w:t>
      </w:r>
      <w:proofErr w:type="spellStart"/>
      <w:r w:rsidRPr="008C6832">
        <w:t>Press</w:t>
      </w:r>
      <w:proofErr w:type="spellEnd"/>
      <w:r w:rsidRPr="008C6832">
        <w:t>, 1991, ISBN 0080411444</w:t>
      </w:r>
    </w:p>
    <w:p w:rsidR="00E4166B" w:rsidRPr="008C6832" w:rsidRDefault="00E4166B" w:rsidP="00E4166B">
      <w:proofErr w:type="spellStart"/>
      <w:r>
        <w:rPr>
          <w:i/>
        </w:rPr>
        <w:t>ICRP</w:t>
      </w:r>
      <w:proofErr w:type="spellEnd"/>
      <w:r>
        <w:rPr>
          <w:i/>
        </w:rPr>
        <w:t xml:space="preserve"> 65</w:t>
      </w:r>
      <w:r w:rsidRPr="008C6832">
        <w:t xml:space="preserve">, International </w:t>
      </w:r>
      <w:proofErr w:type="spellStart"/>
      <w:r w:rsidRPr="008C6832">
        <w:t>Commission</w:t>
      </w:r>
      <w:proofErr w:type="spellEnd"/>
      <w:r w:rsidRPr="008C6832">
        <w:t xml:space="preserve"> on </w:t>
      </w:r>
      <w:proofErr w:type="spellStart"/>
      <w:r w:rsidRPr="008C6832">
        <w:t>Radiological</w:t>
      </w:r>
      <w:proofErr w:type="spellEnd"/>
      <w:r w:rsidRPr="008C6832">
        <w:t xml:space="preserve"> </w:t>
      </w:r>
      <w:proofErr w:type="spellStart"/>
      <w:r w:rsidRPr="008C6832">
        <w:t>Protection</w:t>
      </w:r>
      <w:proofErr w:type="spellEnd"/>
      <w:r w:rsidRPr="008C6832">
        <w:t xml:space="preserve"> (</w:t>
      </w:r>
      <w:proofErr w:type="spellStart"/>
      <w:r w:rsidRPr="008C6832">
        <w:t>ICRP</w:t>
      </w:r>
      <w:proofErr w:type="spellEnd"/>
      <w:r w:rsidRPr="008C6832">
        <w:t xml:space="preserve">). </w:t>
      </w:r>
      <w:proofErr w:type="spellStart"/>
      <w:r w:rsidRPr="008C6832">
        <w:t>Protection</w:t>
      </w:r>
      <w:proofErr w:type="spellEnd"/>
      <w:r w:rsidRPr="008C6832">
        <w:t xml:space="preserve"> </w:t>
      </w:r>
      <w:proofErr w:type="spellStart"/>
      <w:r w:rsidRPr="008C6832">
        <w:t>against</w:t>
      </w:r>
      <w:proofErr w:type="spellEnd"/>
      <w:r w:rsidRPr="008C6832">
        <w:t xml:space="preserve"> radon-222 </w:t>
      </w:r>
      <w:proofErr w:type="spellStart"/>
      <w:r w:rsidRPr="008C6832">
        <w:t>at</w:t>
      </w:r>
      <w:proofErr w:type="spellEnd"/>
      <w:r w:rsidRPr="008C6832">
        <w:t xml:space="preserve"> </w:t>
      </w:r>
      <w:proofErr w:type="spellStart"/>
      <w:r w:rsidRPr="008C6832">
        <w:t>home</w:t>
      </w:r>
      <w:proofErr w:type="spellEnd"/>
      <w:r w:rsidRPr="008C6832">
        <w:t xml:space="preserve"> and </w:t>
      </w:r>
      <w:proofErr w:type="spellStart"/>
      <w:r w:rsidRPr="008C6832">
        <w:t>at</w:t>
      </w:r>
      <w:proofErr w:type="spellEnd"/>
      <w:r w:rsidRPr="008C6832">
        <w:t xml:space="preserve"> </w:t>
      </w:r>
      <w:proofErr w:type="spellStart"/>
      <w:r w:rsidRPr="008C6832">
        <w:t>work</w:t>
      </w:r>
      <w:proofErr w:type="spellEnd"/>
      <w:r w:rsidRPr="008C6832">
        <w:t xml:space="preserve">. </w:t>
      </w:r>
      <w:proofErr w:type="spellStart"/>
      <w:r w:rsidRPr="008C6832">
        <w:t>ICRP</w:t>
      </w:r>
      <w:proofErr w:type="spellEnd"/>
      <w:r w:rsidRPr="008C6832">
        <w:t xml:space="preserve"> </w:t>
      </w:r>
      <w:proofErr w:type="spellStart"/>
      <w:r w:rsidRPr="008C6832">
        <w:t>Publication</w:t>
      </w:r>
      <w:proofErr w:type="spellEnd"/>
      <w:r w:rsidRPr="008C6832">
        <w:t xml:space="preserve"> 65. Ann. ICRP 23 (2), 1993</w:t>
      </w:r>
    </w:p>
    <w:p w:rsidR="00E4166B" w:rsidRPr="008C6832" w:rsidRDefault="00E4166B" w:rsidP="00E4166B">
      <w:proofErr w:type="spellStart"/>
      <w:r w:rsidRPr="008C6832">
        <w:rPr>
          <w:i/>
        </w:rPr>
        <w:t>Darby</w:t>
      </w:r>
      <w:proofErr w:type="spellEnd"/>
      <w:r w:rsidRPr="008C6832">
        <w:rPr>
          <w:i/>
        </w:rPr>
        <w:t xml:space="preserve"> et al. 2005</w:t>
      </w:r>
      <w:r w:rsidRPr="008C6832">
        <w:t xml:space="preserve">, </w:t>
      </w:r>
      <w:proofErr w:type="spellStart"/>
      <w:r w:rsidRPr="008C6832">
        <w:t>Darby</w:t>
      </w:r>
      <w:proofErr w:type="spellEnd"/>
      <w:r w:rsidRPr="008C6832">
        <w:t xml:space="preserve"> S, </w:t>
      </w:r>
      <w:proofErr w:type="spellStart"/>
      <w:r w:rsidRPr="008C6832">
        <w:t>Hill</w:t>
      </w:r>
      <w:proofErr w:type="spellEnd"/>
      <w:r w:rsidRPr="008C6832">
        <w:t xml:space="preserve"> D, </w:t>
      </w:r>
      <w:proofErr w:type="spellStart"/>
      <w:r w:rsidRPr="008C6832">
        <w:t>Auvinen</w:t>
      </w:r>
      <w:proofErr w:type="spellEnd"/>
      <w:r w:rsidRPr="008C6832">
        <w:t xml:space="preserve"> A, </w:t>
      </w:r>
      <w:proofErr w:type="spellStart"/>
      <w:r w:rsidRPr="008C6832">
        <w:t>Barros-Dios</w:t>
      </w:r>
      <w:proofErr w:type="spellEnd"/>
      <w:r w:rsidRPr="008C6832">
        <w:t xml:space="preserve"> </w:t>
      </w:r>
      <w:proofErr w:type="spellStart"/>
      <w:r w:rsidRPr="008C6832">
        <w:t>JM</w:t>
      </w:r>
      <w:proofErr w:type="spellEnd"/>
      <w:r w:rsidRPr="008C6832">
        <w:t xml:space="preserve">, </w:t>
      </w:r>
      <w:proofErr w:type="spellStart"/>
      <w:r w:rsidRPr="008C6832">
        <w:t>Baysson</w:t>
      </w:r>
      <w:proofErr w:type="spellEnd"/>
      <w:r w:rsidRPr="008C6832">
        <w:t xml:space="preserve"> H, </w:t>
      </w:r>
      <w:proofErr w:type="spellStart"/>
      <w:r w:rsidRPr="008C6832">
        <w:t>Bochicchio</w:t>
      </w:r>
      <w:proofErr w:type="spellEnd"/>
      <w:r w:rsidRPr="008C6832">
        <w:t xml:space="preserve"> F, </w:t>
      </w:r>
      <w:proofErr w:type="spellStart"/>
      <w:r w:rsidRPr="008C6832">
        <w:t>Deo</w:t>
      </w:r>
      <w:proofErr w:type="spellEnd"/>
      <w:r w:rsidRPr="008C6832">
        <w:t xml:space="preserve"> H, </w:t>
      </w:r>
      <w:proofErr w:type="spellStart"/>
      <w:r w:rsidRPr="008C6832">
        <w:t>Falk</w:t>
      </w:r>
      <w:proofErr w:type="spellEnd"/>
      <w:r w:rsidRPr="008C6832">
        <w:t xml:space="preserve"> R, </w:t>
      </w:r>
      <w:proofErr w:type="spellStart"/>
      <w:r w:rsidRPr="008C6832">
        <w:t>Forastiere</w:t>
      </w:r>
      <w:proofErr w:type="spellEnd"/>
      <w:r w:rsidRPr="008C6832">
        <w:t xml:space="preserve"> F, </w:t>
      </w:r>
      <w:proofErr w:type="spellStart"/>
      <w:r w:rsidRPr="008C6832">
        <w:t>Hakama</w:t>
      </w:r>
      <w:proofErr w:type="spellEnd"/>
      <w:r w:rsidRPr="008C6832">
        <w:t xml:space="preserve"> M, </w:t>
      </w:r>
      <w:proofErr w:type="spellStart"/>
      <w:r w:rsidRPr="008C6832">
        <w:t>Heid</w:t>
      </w:r>
      <w:proofErr w:type="spellEnd"/>
      <w:r w:rsidRPr="008C6832">
        <w:t xml:space="preserve"> I, </w:t>
      </w:r>
      <w:proofErr w:type="spellStart"/>
      <w:r w:rsidRPr="008C6832">
        <w:t>Kreienbrock</w:t>
      </w:r>
      <w:proofErr w:type="spellEnd"/>
      <w:r w:rsidRPr="008C6832">
        <w:t xml:space="preserve"> L, </w:t>
      </w:r>
      <w:proofErr w:type="spellStart"/>
      <w:r w:rsidRPr="008C6832">
        <w:t>Kreuzer</w:t>
      </w:r>
      <w:proofErr w:type="spellEnd"/>
      <w:r w:rsidRPr="008C6832">
        <w:t xml:space="preserve"> M, </w:t>
      </w:r>
      <w:proofErr w:type="spellStart"/>
      <w:r w:rsidRPr="008C6832">
        <w:t>Lagarde</w:t>
      </w:r>
      <w:proofErr w:type="spellEnd"/>
      <w:r w:rsidRPr="008C6832">
        <w:t xml:space="preserve"> F, </w:t>
      </w:r>
      <w:proofErr w:type="spellStart"/>
      <w:r w:rsidRPr="008C6832">
        <w:t>Mäkeläinen</w:t>
      </w:r>
      <w:proofErr w:type="spellEnd"/>
      <w:r w:rsidRPr="008C6832">
        <w:t xml:space="preserve"> I, </w:t>
      </w:r>
      <w:proofErr w:type="spellStart"/>
      <w:r w:rsidRPr="008C6832">
        <w:t>Muirhead</w:t>
      </w:r>
      <w:proofErr w:type="spellEnd"/>
      <w:r w:rsidRPr="008C6832">
        <w:t xml:space="preserve"> C, </w:t>
      </w:r>
      <w:proofErr w:type="spellStart"/>
      <w:r w:rsidRPr="008C6832">
        <w:t>Oberaigner</w:t>
      </w:r>
      <w:proofErr w:type="spellEnd"/>
      <w:r w:rsidRPr="008C6832">
        <w:t xml:space="preserve"> W, </w:t>
      </w:r>
      <w:proofErr w:type="spellStart"/>
      <w:r w:rsidRPr="008C6832">
        <w:t>Pershagen</w:t>
      </w:r>
      <w:proofErr w:type="spellEnd"/>
      <w:r w:rsidRPr="008C6832">
        <w:t xml:space="preserve"> G, </w:t>
      </w:r>
      <w:proofErr w:type="spellStart"/>
      <w:r w:rsidRPr="008C6832">
        <w:t>Ruano-Ravina</w:t>
      </w:r>
      <w:proofErr w:type="spellEnd"/>
      <w:r w:rsidRPr="008C6832">
        <w:t xml:space="preserve"> A, </w:t>
      </w:r>
      <w:proofErr w:type="spellStart"/>
      <w:r w:rsidRPr="008C6832">
        <w:t>Ruosteenoja</w:t>
      </w:r>
      <w:proofErr w:type="spellEnd"/>
      <w:r w:rsidRPr="008C6832">
        <w:t xml:space="preserve"> E, Rosario AS, </w:t>
      </w:r>
      <w:proofErr w:type="spellStart"/>
      <w:r w:rsidRPr="008C6832">
        <w:t>Tirmarche</w:t>
      </w:r>
      <w:proofErr w:type="spellEnd"/>
      <w:r w:rsidRPr="008C6832">
        <w:t xml:space="preserve"> M, </w:t>
      </w:r>
      <w:proofErr w:type="spellStart"/>
      <w:r w:rsidRPr="008C6832">
        <w:t>Tomásek</w:t>
      </w:r>
      <w:proofErr w:type="spellEnd"/>
      <w:r w:rsidRPr="008C6832">
        <w:t xml:space="preserve"> L, </w:t>
      </w:r>
      <w:proofErr w:type="spellStart"/>
      <w:r w:rsidRPr="008C6832">
        <w:t>Whitley</w:t>
      </w:r>
      <w:proofErr w:type="spellEnd"/>
      <w:r w:rsidRPr="008C6832">
        <w:t xml:space="preserve"> E, </w:t>
      </w:r>
      <w:proofErr w:type="spellStart"/>
      <w:r w:rsidRPr="008C6832">
        <w:t>Wichmann</w:t>
      </w:r>
      <w:proofErr w:type="spellEnd"/>
      <w:r w:rsidRPr="008C6832">
        <w:t xml:space="preserve"> HE, </w:t>
      </w:r>
      <w:proofErr w:type="spellStart"/>
      <w:r w:rsidRPr="008C6832">
        <w:t>Doll</w:t>
      </w:r>
      <w:proofErr w:type="spellEnd"/>
      <w:r w:rsidRPr="008C6832">
        <w:t xml:space="preserve"> R. Radon in </w:t>
      </w:r>
      <w:proofErr w:type="spellStart"/>
      <w:r w:rsidRPr="008C6832">
        <w:t>homes</w:t>
      </w:r>
      <w:proofErr w:type="spellEnd"/>
      <w:r w:rsidRPr="008C6832">
        <w:t xml:space="preserve"> and risk </w:t>
      </w:r>
      <w:proofErr w:type="spellStart"/>
      <w:r w:rsidRPr="008C6832">
        <w:t>of</w:t>
      </w:r>
      <w:proofErr w:type="spellEnd"/>
      <w:r w:rsidRPr="008C6832">
        <w:t xml:space="preserve"> </w:t>
      </w:r>
      <w:proofErr w:type="spellStart"/>
      <w:r w:rsidRPr="008C6832">
        <w:t>lung</w:t>
      </w:r>
      <w:proofErr w:type="spellEnd"/>
      <w:r w:rsidRPr="008C6832">
        <w:t xml:space="preserve"> </w:t>
      </w:r>
      <w:proofErr w:type="spellStart"/>
      <w:r w:rsidRPr="008C6832">
        <w:t>cancer</w:t>
      </w:r>
      <w:proofErr w:type="spellEnd"/>
      <w:r w:rsidRPr="008C6832">
        <w:t xml:space="preserve">: </w:t>
      </w:r>
      <w:proofErr w:type="spellStart"/>
      <w:r w:rsidRPr="008C6832">
        <w:t>collaborative</w:t>
      </w:r>
      <w:proofErr w:type="spellEnd"/>
      <w:r w:rsidRPr="008C6832">
        <w:t xml:space="preserve"> </w:t>
      </w:r>
      <w:proofErr w:type="spellStart"/>
      <w:r w:rsidRPr="008C6832">
        <w:t>analysis</w:t>
      </w:r>
      <w:proofErr w:type="spellEnd"/>
      <w:r w:rsidRPr="008C6832">
        <w:t xml:space="preserve"> </w:t>
      </w:r>
      <w:proofErr w:type="spellStart"/>
      <w:r w:rsidRPr="008C6832">
        <w:t>of</w:t>
      </w:r>
      <w:proofErr w:type="spellEnd"/>
      <w:r w:rsidRPr="008C6832">
        <w:t xml:space="preserve"> </w:t>
      </w:r>
      <w:proofErr w:type="spellStart"/>
      <w:r w:rsidRPr="008C6832">
        <w:t>individual</w:t>
      </w:r>
      <w:proofErr w:type="spellEnd"/>
      <w:r w:rsidRPr="008C6832">
        <w:t xml:space="preserve"> data </w:t>
      </w:r>
      <w:proofErr w:type="spellStart"/>
      <w:r w:rsidRPr="008C6832">
        <w:t>from</w:t>
      </w:r>
      <w:proofErr w:type="spellEnd"/>
      <w:r w:rsidRPr="008C6832">
        <w:t xml:space="preserve"> 13 </w:t>
      </w:r>
      <w:proofErr w:type="spellStart"/>
      <w:r w:rsidRPr="008C6832">
        <w:t>European</w:t>
      </w:r>
      <w:proofErr w:type="spellEnd"/>
      <w:r w:rsidRPr="008C6832">
        <w:t xml:space="preserve"> </w:t>
      </w:r>
      <w:proofErr w:type="gramStart"/>
      <w:r w:rsidRPr="008C6832">
        <w:t>case</w:t>
      </w:r>
      <w:proofErr w:type="gramEnd"/>
      <w:r w:rsidRPr="008C6832">
        <w:t>–</w:t>
      </w:r>
      <w:proofErr w:type="spellStart"/>
      <w:proofErr w:type="gramStart"/>
      <w:r w:rsidRPr="008C6832">
        <w:t>control</w:t>
      </w:r>
      <w:proofErr w:type="spellEnd"/>
      <w:proofErr w:type="gramEnd"/>
      <w:r w:rsidRPr="008C6832">
        <w:t xml:space="preserve"> </w:t>
      </w:r>
      <w:proofErr w:type="spellStart"/>
      <w:r w:rsidRPr="008C6832">
        <w:t>studies</w:t>
      </w:r>
      <w:proofErr w:type="spellEnd"/>
      <w:r w:rsidRPr="008C6832">
        <w:t xml:space="preserve">. BMJ. 2005 Jan 29;330(7485):223. </w:t>
      </w:r>
      <w:proofErr w:type="spellStart"/>
      <w:r w:rsidRPr="008C6832">
        <w:t>Epub</w:t>
      </w:r>
      <w:proofErr w:type="spellEnd"/>
      <w:r w:rsidRPr="008C6832">
        <w:t xml:space="preserve"> 2004 Dec 21</w:t>
      </w:r>
    </w:p>
    <w:p w:rsidR="00E4166B" w:rsidRPr="008C6832" w:rsidRDefault="00E4166B" w:rsidP="00E4166B">
      <w:proofErr w:type="spellStart"/>
      <w:r w:rsidRPr="008C6832">
        <w:rPr>
          <w:i/>
        </w:rPr>
        <w:t>Darby</w:t>
      </w:r>
      <w:proofErr w:type="spellEnd"/>
      <w:r w:rsidRPr="008C6832">
        <w:rPr>
          <w:i/>
        </w:rPr>
        <w:t xml:space="preserve"> et al. 2006</w:t>
      </w:r>
      <w:r w:rsidRPr="008C6832">
        <w:t xml:space="preserve">, </w:t>
      </w:r>
      <w:proofErr w:type="spellStart"/>
      <w:r w:rsidRPr="008C6832">
        <w:t>Darby</w:t>
      </w:r>
      <w:proofErr w:type="spellEnd"/>
      <w:r w:rsidRPr="008C6832">
        <w:t xml:space="preserve"> S, </w:t>
      </w:r>
      <w:proofErr w:type="spellStart"/>
      <w:r w:rsidRPr="008C6832">
        <w:t>Hill</w:t>
      </w:r>
      <w:proofErr w:type="spellEnd"/>
      <w:r w:rsidRPr="008C6832">
        <w:t xml:space="preserve"> D, </w:t>
      </w:r>
      <w:proofErr w:type="spellStart"/>
      <w:r w:rsidRPr="008C6832">
        <w:t>Deo</w:t>
      </w:r>
      <w:proofErr w:type="spellEnd"/>
      <w:r w:rsidRPr="008C6832">
        <w:t xml:space="preserve"> H, </w:t>
      </w:r>
      <w:proofErr w:type="spellStart"/>
      <w:r w:rsidRPr="008C6832">
        <w:t>Auvinen</w:t>
      </w:r>
      <w:proofErr w:type="spellEnd"/>
      <w:r w:rsidRPr="008C6832">
        <w:t xml:space="preserve"> A, </w:t>
      </w:r>
      <w:proofErr w:type="spellStart"/>
      <w:r w:rsidRPr="008C6832">
        <w:t>Barros-Dios</w:t>
      </w:r>
      <w:proofErr w:type="spellEnd"/>
      <w:r w:rsidRPr="008C6832">
        <w:t xml:space="preserve"> </w:t>
      </w:r>
      <w:proofErr w:type="spellStart"/>
      <w:r w:rsidRPr="008C6832">
        <w:t>JM</w:t>
      </w:r>
      <w:proofErr w:type="spellEnd"/>
      <w:r w:rsidRPr="008C6832">
        <w:t xml:space="preserve">, </w:t>
      </w:r>
      <w:proofErr w:type="spellStart"/>
      <w:r w:rsidRPr="008C6832">
        <w:t>Baysson</w:t>
      </w:r>
      <w:proofErr w:type="spellEnd"/>
      <w:r w:rsidRPr="008C6832">
        <w:t xml:space="preserve"> H, </w:t>
      </w:r>
      <w:proofErr w:type="spellStart"/>
      <w:r w:rsidRPr="008C6832">
        <w:t>Bochicchio</w:t>
      </w:r>
      <w:proofErr w:type="spellEnd"/>
      <w:r w:rsidRPr="008C6832">
        <w:t xml:space="preserve"> F, </w:t>
      </w:r>
      <w:proofErr w:type="spellStart"/>
      <w:r w:rsidRPr="008C6832">
        <w:t>Falk</w:t>
      </w:r>
      <w:proofErr w:type="spellEnd"/>
      <w:r w:rsidRPr="008C6832">
        <w:t xml:space="preserve"> R, </w:t>
      </w:r>
      <w:proofErr w:type="spellStart"/>
      <w:r w:rsidRPr="008C6832">
        <w:t>Farchi</w:t>
      </w:r>
      <w:proofErr w:type="spellEnd"/>
      <w:r w:rsidRPr="008C6832">
        <w:t xml:space="preserve"> S, </w:t>
      </w:r>
      <w:proofErr w:type="spellStart"/>
      <w:r w:rsidRPr="008C6832">
        <w:t>Figueiras</w:t>
      </w:r>
      <w:proofErr w:type="spellEnd"/>
      <w:r w:rsidRPr="008C6832">
        <w:t xml:space="preserve"> A, </w:t>
      </w:r>
      <w:proofErr w:type="spellStart"/>
      <w:r w:rsidRPr="008C6832">
        <w:t>Hakama</w:t>
      </w:r>
      <w:proofErr w:type="spellEnd"/>
      <w:r w:rsidRPr="008C6832">
        <w:t xml:space="preserve"> M, </w:t>
      </w:r>
      <w:proofErr w:type="spellStart"/>
      <w:r w:rsidRPr="008C6832">
        <w:t>Heid</w:t>
      </w:r>
      <w:proofErr w:type="spellEnd"/>
      <w:r w:rsidRPr="008C6832">
        <w:t xml:space="preserve"> I, Hunter N, </w:t>
      </w:r>
      <w:proofErr w:type="spellStart"/>
      <w:r w:rsidRPr="008C6832">
        <w:t>Kreienbrock</w:t>
      </w:r>
      <w:proofErr w:type="spellEnd"/>
      <w:r w:rsidRPr="008C6832">
        <w:t xml:space="preserve"> L, </w:t>
      </w:r>
      <w:proofErr w:type="spellStart"/>
      <w:r w:rsidRPr="008C6832">
        <w:t>Kreuzer</w:t>
      </w:r>
      <w:proofErr w:type="spellEnd"/>
      <w:r w:rsidRPr="008C6832">
        <w:t xml:space="preserve"> M, </w:t>
      </w:r>
      <w:proofErr w:type="spellStart"/>
      <w:r w:rsidRPr="008C6832">
        <w:t>Lagarde</w:t>
      </w:r>
      <w:proofErr w:type="spellEnd"/>
      <w:r w:rsidRPr="008C6832">
        <w:t xml:space="preserve"> F, </w:t>
      </w:r>
      <w:proofErr w:type="spellStart"/>
      <w:r w:rsidRPr="008C6832">
        <w:t>Mäkeläinen</w:t>
      </w:r>
      <w:proofErr w:type="spellEnd"/>
      <w:r w:rsidRPr="008C6832">
        <w:t xml:space="preserve"> I, </w:t>
      </w:r>
      <w:proofErr w:type="spellStart"/>
      <w:r w:rsidRPr="008C6832">
        <w:t>Muirhead</w:t>
      </w:r>
      <w:proofErr w:type="spellEnd"/>
      <w:r w:rsidRPr="008C6832">
        <w:t xml:space="preserve"> C, </w:t>
      </w:r>
      <w:proofErr w:type="spellStart"/>
      <w:r w:rsidRPr="008C6832">
        <w:t>Oberaigner</w:t>
      </w:r>
      <w:proofErr w:type="spellEnd"/>
      <w:r w:rsidRPr="008C6832">
        <w:t xml:space="preserve"> W, </w:t>
      </w:r>
      <w:proofErr w:type="spellStart"/>
      <w:r w:rsidRPr="008C6832">
        <w:t>Pershagen</w:t>
      </w:r>
      <w:proofErr w:type="spellEnd"/>
      <w:r w:rsidRPr="008C6832">
        <w:t xml:space="preserve"> G, </w:t>
      </w:r>
      <w:proofErr w:type="spellStart"/>
      <w:r w:rsidRPr="008C6832">
        <w:t>Ruosteenoja</w:t>
      </w:r>
      <w:proofErr w:type="spellEnd"/>
      <w:r w:rsidRPr="008C6832">
        <w:t xml:space="preserve"> E, Rosario AS, </w:t>
      </w:r>
      <w:proofErr w:type="spellStart"/>
      <w:r w:rsidRPr="008C6832">
        <w:t>Tirmarche</w:t>
      </w:r>
      <w:proofErr w:type="spellEnd"/>
      <w:r w:rsidRPr="008C6832">
        <w:t xml:space="preserve"> M, </w:t>
      </w:r>
      <w:proofErr w:type="spellStart"/>
      <w:r w:rsidRPr="008C6832">
        <w:t>Tomásek</w:t>
      </w:r>
      <w:proofErr w:type="spellEnd"/>
      <w:r w:rsidRPr="008C6832">
        <w:t xml:space="preserve"> L, </w:t>
      </w:r>
      <w:proofErr w:type="spellStart"/>
      <w:r w:rsidRPr="008C6832">
        <w:t>Whitley</w:t>
      </w:r>
      <w:proofErr w:type="spellEnd"/>
      <w:r w:rsidRPr="008C6832">
        <w:t xml:space="preserve"> E, </w:t>
      </w:r>
      <w:proofErr w:type="spellStart"/>
      <w:r w:rsidRPr="008C6832">
        <w:t>Wichmann</w:t>
      </w:r>
      <w:proofErr w:type="spellEnd"/>
      <w:r w:rsidRPr="008C6832">
        <w:t xml:space="preserve"> HE, </w:t>
      </w:r>
      <w:proofErr w:type="spellStart"/>
      <w:r w:rsidRPr="008C6832">
        <w:t>Doll</w:t>
      </w:r>
      <w:proofErr w:type="spellEnd"/>
      <w:r w:rsidRPr="008C6832">
        <w:t xml:space="preserve"> R. </w:t>
      </w:r>
      <w:proofErr w:type="spellStart"/>
      <w:r w:rsidRPr="008C6832">
        <w:t>Residential</w:t>
      </w:r>
      <w:proofErr w:type="spellEnd"/>
      <w:r w:rsidRPr="008C6832">
        <w:t xml:space="preserve"> radon and </w:t>
      </w:r>
      <w:proofErr w:type="spellStart"/>
      <w:r w:rsidRPr="008C6832">
        <w:t>lung</w:t>
      </w:r>
      <w:proofErr w:type="spellEnd"/>
      <w:r w:rsidRPr="008C6832">
        <w:t xml:space="preserve"> </w:t>
      </w:r>
      <w:proofErr w:type="spellStart"/>
      <w:r w:rsidRPr="008C6832">
        <w:t>cancer</w:t>
      </w:r>
      <w:proofErr w:type="spellEnd"/>
      <w:r w:rsidRPr="008C6832">
        <w:t xml:space="preserve"> – </w:t>
      </w:r>
      <w:proofErr w:type="spellStart"/>
      <w:r w:rsidRPr="008C6832">
        <w:t>detailed</w:t>
      </w:r>
      <w:proofErr w:type="spellEnd"/>
      <w:r w:rsidRPr="008C6832">
        <w:t xml:space="preserve"> </w:t>
      </w:r>
      <w:proofErr w:type="spellStart"/>
      <w:r w:rsidRPr="008C6832">
        <w:t>results</w:t>
      </w:r>
      <w:proofErr w:type="spellEnd"/>
      <w:r w:rsidRPr="008C6832">
        <w:t xml:space="preserve"> </w:t>
      </w:r>
      <w:proofErr w:type="spellStart"/>
      <w:r w:rsidRPr="008C6832">
        <w:t>of</w:t>
      </w:r>
      <w:proofErr w:type="spellEnd"/>
      <w:r w:rsidRPr="008C6832">
        <w:t xml:space="preserve"> a </w:t>
      </w:r>
      <w:proofErr w:type="spellStart"/>
      <w:r w:rsidRPr="008C6832">
        <w:t>collaborative</w:t>
      </w:r>
      <w:proofErr w:type="spellEnd"/>
      <w:r w:rsidRPr="008C6832">
        <w:t xml:space="preserve"> </w:t>
      </w:r>
      <w:proofErr w:type="spellStart"/>
      <w:r w:rsidRPr="008C6832">
        <w:t>analysis</w:t>
      </w:r>
      <w:proofErr w:type="spellEnd"/>
      <w:r w:rsidRPr="008C6832">
        <w:t xml:space="preserve"> </w:t>
      </w:r>
      <w:proofErr w:type="spellStart"/>
      <w:r w:rsidRPr="008C6832">
        <w:t>of</w:t>
      </w:r>
      <w:proofErr w:type="spellEnd"/>
      <w:r w:rsidRPr="008C6832">
        <w:t xml:space="preserve"> </w:t>
      </w:r>
      <w:proofErr w:type="spellStart"/>
      <w:r w:rsidRPr="008C6832">
        <w:t>individual</w:t>
      </w:r>
      <w:proofErr w:type="spellEnd"/>
      <w:r w:rsidRPr="008C6832">
        <w:t xml:space="preserve"> data on 7148 </w:t>
      </w:r>
      <w:proofErr w:type="spellStart"/>
      <w:r w:rsidRPr="008C6832">
        <w:t>persons</w:t>
      </w:r>
      <w:proofErr w:type="spellEnd"/>
      <w:r w:rsidRPr="008C6832">
        <w:t xml:space="preserve"> </w:t>
      </w:r>
      <w:proofErr w:type="spellStart"/>
      <w:r w:rsidRPr="008C6832">
        <w:t>with</w:t>
      </w:r>
      <w:proofErr w:type="spellEnd"/>
      <w:r w:rsidRPr="008C6832">
        <w:t xml:space="preserve"> </w:t>
      </w:r>
      <w:proofErr w:type="spellStart"/>
      <w:r w:rsidRPr="008C6832">
        <w:t>lung</w:t>
      </w:r>
      <w:proofErr w:type="spellEnd"/>
      <w:r w:rsidRPr="008C6832">
        <w:t xml:space="preserve"> </w:t>
      </w:r>
      <w:proofErr w:type="spellStart"/>
      <w:r w:rsidRPr="008C6832">
        <w:t>cancer</w:t>
      </w:r>
      <w:proofErr w:type="spellEnd"/>
      <w:r w:rsidRPr="008C6832">
        <w:t xml:space="preserve"> and 14,208 </w:t>
      </w:r>
      <w:proofErr w:type="spellStart"/>
      <w:r w:rsidRPr="008C6832">
        <w:t>persons</w:t>
      </w:r>
      <w:proofErr w:type="spellEnd"/>
      <w:r w:rsidRPr="008C6832">
        <w:t xml:space="preserve"> </w:t>
      </w:r>
      <w:proofErr w:type="spellStart"/>
      <w:r w:rsidRPr="008C6832">
        <w:t>without</w:t>
      </w:r>
      <w:proofErr w:type="spellEnd"/>
      <w:r w:rsidRPr="008C6832">
        <w:t xml:space="preserve"> </w:t>
      </w:r>
      <w:proofErr w:type="spellStart"/>
      <w:r w:rsidRPr="008C6832">
        <w:t>lung</w:t>
      </w:r>
      <w:proofErr w:type="spellEnd"/>
      <w:r w:rsidRPr="008C6832">
        <w:t xml:space="preserve"> </w:t>
      </w:r>
      <w:proofErr w:type="spellStart"/>
      <w:r w:rsidRPr="008C6832">
        <w:t>cancer</w:t>
      </w:r>
      <w:proofErr w:type="spellEnd"/>
      <w:r w:rsidRPr="008C6832">
        <w:t xml:space="preserve"> </w:t>
      </w:r>
      <w:proofErr w:type="spellStart"/>
      <w:r w:rsidRPr="008C6832">
        <w:t>from</w:t>
      </w:r>
      <w:proofErr w:type="spellEnd"/>
      <w:r w:rsidRPr="008C6832">
        <w:t xml:space="preserve"> 13 </w:t>
      </w:r>
      <w:proofErr w:type="spellStart"/>
      <w:r w:rsidRPr="008C6832">
        <w:t>epidemiologic</w:t>
      </w:r>
      <w:proofErr w:type="spellEnd"/>
      <w:r w:rsidRPr="008C6832">
        <w:t xml:space="preserve"> </w:t>
      </w:r>
      <w:proofErr w:type="spellStart"/>
      <w:r w:rsidRPr="008C6832">
        <w:t>studies</w:t>
      </w:r>
      <w:proofErr w:type="spellEnd"/>
      <w:r w:rsidRPr="008C6832">
        <w:t xml:space="preserve"> in </w:t>
      </w:r>
      <w:proofErr w:type="spellStart"/>
      <w:r w:rsidRPr="008C6832">
        <w:t>Europe</w:t>
      </w:r>
      <w:proofErr w:type="spellEnd"/>
      <w:r w:rsidRPr="008C6832">
        <w:t xml:space="preserve">. </w:t>
      </w:r>
      <w:proofErr w:type="spellStart"/>
      <w:r w:rsidRPr="008C6832">
        <w:t>Scand</w:t>
      </w:r>
      <w:proofErr w:type="spellEnd"/>
      <w:r w:rsidRPr="008C6832">
        <w:t xml:space="preserve"> J </w:t>
      </w:r>
      <w:proofErr w:type="spellStart"/>
      <w:r w:rsidRPr="008C6832">
        <w:t>Work</w:t>
      </w:r>
      <w:proofErr w:type="spellEnd"/>
      <w:r w:rsidRPr="008C6832">
        <w:t xml:space="preserve"> </w:t>
      </w:r>
      <w:proofErr w:type="spellStart"/>
      <w:r w:rsidRPr="008C6832">
        <w:t>Environ</w:t>
      </w:r>
      <w:proofErr w:type="spellEnd"/>
      <w:r w:rsidRPr="008C6832">
        <w:t xml:space="preserve"> </w:t>
      </w:r>
      <w:proofErr w:type="spellStart"/>
      <w:r w:rsidRPr="008C6832">
        <w:t>Health</w:t>
      </w:r>
      <w:proofErr w:type="spellEnd"/>
      <w:r w:rsidRPr="008C6832">
        <w:t xml:space="preserve">. 2006;32 </w:t>
      </w:r>
      <w:proofErr w:type="spellStart"/>
      <w:r w:rsidRPr="008C6832">
        <w:t>Suppl</w:t>
      </w:r>
      <w:proofErr w:type="spellEnd"/>
      <w:r w:rsidRPr="008C6832">
        <w:t xml:space="preserve"> 1:1-83. </w:t>
      </w:r>
      <w:proofErr w:type="spellStart"/>
      <w:r w:rsidRPr="008C6832">
        <w:t>Erratum</w:t>
      </w:r>
      <w:proofErr w:type="spellEnd"/>
      <w:r w:rsidRPr="008C6832">
        <w:t xml:space="preserve"> in </w:t>
      </w:r>
      <w:proofErr w:type="spellStart"/>
      <w:r w:rsidRPr="008C6832">
        <w:t>Scand</w:t>
      </w:r>
      <w:proofErr w:type="spellEnd"/>
      <w:r w:rsidRPr="008C6832">
        <w:t xml:space="preserve"> J </w:t>
      </w:r>
      <w:proofErr w:type="spellStart"/>
      <w:r w:rsidRPr="008C6832">
        <w:t>Work</w:t>
      </w:r>
      <w:proofErr w:type="spellEnd"/>
      <w:r w:rsidRPr="008C6832">
        <w:t xml:space="preserve"> </w:t>
      </w:r>
      <w:proofErr w:type="spellStart"/>
      <w:r w:rsidRPr="008C6832">
        <w:t>Environ</w:t>
      </w:r>
      <w:proofErr w:type="spellEnd"/>
      <w:r w:rsidRPr="008C6832">
        <w:t xml:space="preserve"> </w:t>
      </w:r>
      <w:proofErr w:type="spellStart"/>
      <w:r w:rsidRPr="008C6832">
        <w:t>Health</w:t>
      </w:r>
      <w:proofErr w:type="spellEnd"/>
      <w:r w:rsidRPr="008C6832">
        <w:t>. 2007 Feb;33(1):80</w:t>
      </w:r>
    </w:p>
    <w:p w:rsidR="00E4166B" w:rsidRPr="008C6832" w:rsidRDefault="00E4166B" w:rsidP="00E4166B">
      <w:r w:rsidRPr="008C6832">
        <w:rPr>
          <w:i/>
        </w:rPr>
        <w:t>UN 2009</w:t>
      </w:r>
      <w:r w:rsidRPr="008C6832">
        <w:t xml:space="preserve">, United </w:t>
      </w:r>
      <w:proofErr w:type="spellStart"/>
      <w:r w:rsidRPr="008C6832">
        <w:t>Nations</w:t>
      </w:r>
      <w:proofErr w:type="spellEnd"/>
      <w:r w:rsidRPr="008C6832">
        <w:t xml:space="preserve"> (UN). </w:t>
      </w:r>
      <w:proofErr w:type="spellStart"/>
      <w:r w:rsidRPr="008C6832">
        <w:t>UNSCEAR</w:t>
      </w:r>
      <w:proofErr w:type="spellEnd"/>
      <w:r w:rsidRPr="008C6832">
        <w:t xml:space="preserve"> 2006 Report, </w:t>
      </w:r>
      <w:proofErr w:type="spellStart"/>
      <w:r w:rsidRPr="008C6832">
        <w:t>Effects</w:t>
      </w:r>
      <w:proofErr w:type="spellEnd"/>
      <w:r w:rsidRPr="008C6832">
        <w:t xml:space="preserve"> </w:t>
      </w:r>
      <w:proofErr w:type="spellStart"/>
      <w:r w:rsidRPr="008C6832">
        <w:t>of</w:t>
      </w:r>
      <w:proofErr w:type="spellEnd"/>
      <w:r w:rsidRPr="008C6832">
        <w:t xml:space="preserve"> </w:t>
      </w:r>
      <w:proofErr w:type="spellStart"/>
      <w:r w:rsidRPr="008C6832">
        <w:t>ionizing</w:t>
      </w:r>
      <w:proofErr w:type="spellEnd"/>
      <w:r w:rsidRPr="008C6832">
        <w:t xml:space="preserve"> </w:t>
      </w:r>
      <w:proofErr w:type="spellStart"/>
      <w:r w:rsidRPr="008C6832">
        <w:t>radiation</w:t>
      </w:r>
      <w:proofErr w:type="spellEnd"/>
      <w:r w:rsidRPr="008C6832">
        <w:t xml:space="preserve">, </w:t>
      </w:r>
      <w:proofErr w:type="spellStart"/>
      <w:r w:rsidRPr="008C6832">
        <w:t>Volume</w:t>
      </w:r>
      <w:proofErr w:type="spellEnd"/>
      <w:r w:rsidRPr="008C6832">
        <w:t xml:space="preserve"> II </w:t>
      </w:r>
      <w:proofErr w:type="spellStart"/>
      <w:r w:rsidRPr="008C6832">
        <w:t>Annex</w:t>
      </w:r>
      <w:proofErr w:type="spellEnd"/>
      <w:r w:rsidRPr="008C6832">
        <w:t xml:space="preserve"> E: </w:t>
      </w:r>
      <w:proofErr w:type="spellStart"/>
      <w:r w:rsidRPr="008C6832">
        <w:t>Sources</w:t>
      </w:r>
      <w:proofErr w:type="spellEnd"/>
      <w:r w:rsidRPr="008C6832">
        <w:t>-to-</w:t>
      </w:r>
      <w:proofErr w:type="spellStart"/>
      <w:r w:rsidRPr="008C6832">
        <w:t>Effects</w:t>
      </w:r>
      <w:proofErr w:type="spellEnd"/>
      <w:r w:rsidRPr="008C6832">
        <w:t xml:space="preserve"> </w:t>
      </w:r>
      <w:proofErr w:type="spellStart"/>
      <w:r w:rsidRPr="008C6832">
        <w:t>Assessment</w:t>
      </w:r>
      <w:proofErr w:type="spellEnd"/>
      <w:r w:rsidRPr="008C6832">
        <w:t xml:space="preserve"> </w:t>
      </w:r>
      <w:proofErr w:type="spellStart"/>
      <w:r w:rsidRPr="008C6832">
        <w:t>for</w:t>
      </w:r>
      <w:proofErr w:type="spellEnd"/>
      <w:r w:rsidRPr="008C6832">
        <w:t xml:space="preserve"> Radon in </w:t>
      </w:r>
      <w:proofErr w:type="spellStart"/>
      <w:r w:rsidRPr="008C6832">
        <w:t>Homes</w:t>
      </w:r>
      <w:proofErr w:type="spellEnd"/>
      <w:r w:rsidRPr="008C6832">
        <w:t xml:space="preserve"> and </w:t>
      </w:r>
      <w:proofErr w:type="spellStart"/>
      <w:r w:rsidRPr="008C6832">
        <w:t>Workplaces</w:t>
      </w:r>
      <w:proofErr w:type="spellEnd"/>
      <w:r w:rsidRPr="008C6832">
        <w:t xml:space="preserve">. New York, 2009,ISBN78-92-1-142270-2, </w:t>
      </w:r>
      <w:r w:rsidRPr="008C6832">
        <w:lastRenderedPageBreak/>
        <w:t xml:space="preserve">http://www.unscear.org/unscear/en/publications/2006_2.html, </w:t>
      </w:r>
      <w:proofErr w:type="spellStart"/>
      <w:r w:rsidRPr="008C6832">
        <w:t>zuletzt</w:t>
      </w:r>
      <w:proofErr w:type="spellEnd"/>
      <w:r w:rsidRPr="008C6832">
        <w:t xml:space="preserve"> </w:t>
      </w:r>
      <w:proofErr w:type="spellStart"/>
      <w:r w:rsidRPr="008C6832">
        <w:t>aufgerufen</w:t>
      </w:r>
      <w:proofErr w:type="spellEnd"/>
      <w:r w:rsidRPr="008C6832">
        <w:t xml:space="preserve"> </w:t>
      </w:r>
      <w:proofErr w:type="spellStart"/>
      <w:r w:rsidRPr="008C6832">
        <w:t>am</w:t>
      </w:r>
      <w:proofErr w:type="spellEnd"/>
      <w:r w:rsidRPr="008C6832">
        <w:t xml:space="preserve"> </w:t>
      </w:r>
      <w:proofErr w:type="gramStart"/>
      <w:r w:rsidRPr="008C6832">
        <w:t>13.09.2017</w:t>
      </w:r>
      <w:proofErr w:type="gramEnd"/>
    </w:p>
    <w:p w:rsidR="00E4166B" w:rsidRPr="008C6832" w:rsidRDefault="00E4166B" w:rsidP="00E4166B">
      <w:proofErr w:type="spellStart"/>
      <w:r w:rsidRPr="008C6832">
        <w:rPr>
          <w:i/>
        </w:rPr>
        <w:t>ICRP</w:t>
      </w:r>
      <w:proofErr w:type="spellEnd"/>
      <w:r w:rsidRPr="008C6832">
        <w:rPr>
          <w:i/>
        </w:rPr>
        <w:t xml:space="preserve"> </w:t>
      </w:r>
      <w:r>
        <w:rPr>
          <w:i/>
        </w:rPr>
        <w:t>115</w:t>
      </w:r>
      <w:r w:rsidRPr="008C6832">
        <w:t xml:space="preserve">, International </w:t>
      </w:r>
      <w:proofErr w:type="spellStart"/>
      <w:r w:rsidRPr="008C6832">
        <w:t>Commission</w:t>
      </w:r>
      <w:proofErr w:type="spellEnd"/>
      <w:r w:rsidRPr="008C6832">
        <w:t xml:space="preserve"> on </w:t>
      </w:r>
      <w:proofErr w:type="spellStart"/>
      <w:r w:rsidRPr="008C6832">
        <w:t>Radiological</w:t>
      </w:r>
      <w:proofErr w:type="spellEnd"/>
      <w:r w:rsidRPr="008C6832">
        <w:t xml:space="preserve"> </w:t>
      </w:r>
      <w:proofErr w:type="spellStart"/>
      <w:r w:rsidRPr="008C6832">
        <w:t>Protection</w:t>
      </w:r>
      <w:proofErr w:type="spellEnd"/>
      <w:r w:rsidRPr="008C6832">
        <w:t xml:space="preserve"> (</w:t>
      </w:r>
      <w:proofErr w:type="spellStart"/>
      <w:r w:rsidRPr="008C6832">
        <w:t>ICRP</w:t>
      </w:r>
      <w:proofErr w:type="spellEnd"/>
      <w:r w:rsidRPr="008C6832">
        <w:t xml:space="preserve">). </w:t>
      </w:r>
      <w:proofErr w:type="spellStart"/>
      <w:r w:rsidRPr="008C6832">
        <w:t>Lung</w:t>
      </w:r>
      <w:proofErr w:type="spellEnd"/>
      <w:r w:rsidRPr="008C6832">
        <w:t xml:space="preserve"> </w:t>
      </w:r>
      <w:proofErr w:type="spellStart"/>
      <w:r w:rsidRPr="008C6832">
        <w:t>Cancer</w:t>
      </w:r>
      <w:proofErr w:type="spellEnd"/>
      <w:r w:rsidRPr="008C6832">
        <w:t xml:space="preserve"> Risk </w:t>
      </w:r>
      <w:proofErr w:type="spellStart"/>
      <w:r w:rsidRPr="008C6832">
        <w:t>from</w:t>
      </w:r>
      <w:proofErr w:type="spellEnd"/>
      <w:r w:rsidRPr="008C6832">
        <w:t xml:space="preserve"> Radon and </w:t>
      </w:r>
      <w:proofErr w:type="spellStart"/>
      <w:r w:rsidRPr="008C6832">
        <w:t>Progeny</w:t>
      </w:r>
      <w:proofErr w:type="spellEnd"/>
      <w:r w:rsidRPr="008C6832">
        <w:t xml:space="preserve"> and </w:t>
      </w:r>
      <w:proofErr w:type="spellStart"/>
      <w:r w:rsidRPr="008C6832">
        <w:t>Statement</w:t>
      </w:r>
      <w:proofErr w:type="spellEnd"/>
      <w:r w:rsidRPr="008C6832">
        <w:t xml:space="preserve"> on Radon. </w:t>
      </w:r>
      <w:proofErr w:type="spellStart"/>
      <w:r w:rsidRPr="008C6832">
        <w:t>ICRP</w:t>
      </w:r>
      <w:proofErr w:type="spellEnd"/>
      <w:r w:rsidRPr="008C6832">
        <w:t xml:space="preserve"> </w:t>
      </w:r>
      <w:proofErr w:type="spellStart"/>
      <w:r w:rsidRPr="008C6832">
        <w:t>Publication</w:t>
      </w:r>
      <w:proofErr w:type="spellEnd"/>
      <w:r w:rsidRPr="008C6832">
        <w:t xml:space="preserve"> 115, Ann. </w:t>
      </w:r>
      <w:proofErr w:type="spellStart"/>
      <w:r w:rsidRPr="008C6832">
        <w:t>ICRP</w:t>
      </w:r>
      <w:proofErr w:type="spellEnd"/>
      <w:r w:rsidRPr="008C6832">
        <w:t xml:space="preserve"> 40(1), </w:t>
      </w:r>
      <w:proofErr w:type="spellStart"/>
      <w:r w:rsidRPr="008C6832">
        <w:t>Elsevier</w:t>
      </w:r>
      <w:proofErr w:type="spellEnd"/>
      <w:r w:rsidRPr="008C6832">
        <w:t>, 2010, ISBN 978-0702049774</w:t>
      </w:r>
    </w:p>
    <w:p w:rsidR="00E4166B" w:rsidRPr="008C6832" w:rsidRDefault="00E4166B" w:rsidP="00E4166B">
      <w:proofErr w:type="spellStart"/>
      <w:r w:rsidRPr="008C6832">
        <w:rPr>
          <w:i/>
        </w:rPr>
        <w:t>ICRP</w:t>
      </w:r>
      <w:proofErr w:type="spellEnd"/>
      <w:r w:rsidRPr="008C6832">
        <w:rPr>
          <w:i/>
        </w:rPr>
        <w:t xml:space="preserve"> </w:t>
      </w:r>
      <w:r>
        <w:rPr>
          <w:i/>
        </w:rPr>
        <w:t>126</w:t>
      </w:r>
      <w:r w:rsidRPr="008C6832">
        <w:t xml:space="preserve">, International </w:t>
      </w:r>
      <w:proofErr w:type="spellStart"/>
      <w:r w:rsidRPr="008C6832">
        <w:t>Commission</w:t>
      </w:r>
      <w:proofErr w:type="spellEnd"/>
      <w:r w:rsidRPr="008C6832">
        <w:t xml:space="preserve"> on </w:t>
      </w:r>
      <w:proofErr w:type="spellStart"/>
      <w:r w:rsidRPr="008C6832">
        <w:t>Radiological</w:t>
      </w:r>
      <w:proofErr w:type="spellEnd"/>
      <w:r w:rsidRPr="008C6832">
        <w:t xml:space="preserve"> </w:t>
      </w:r>
      <w:proofErr w:type="spellStart"/>
      <w:r w:rsidRPr="008C6832">
        <w:t>Protection</w:t>
      </w:r>
      <w:proofErr w:type="spellEnd"/>
      <w:r w:rsidRPr="008C6832">
        <w:t xml:space="preserve"> (</w:t>
      </w:r>
      <w:proofErr w:type="spellStart"/>
      <w:r w:rsidRPr="008C6832">
        <w:t>ICRP</w:t>
      </w:r>
      <w:proofErr w:type="spellEnd"/>
      <w:r w:rsidRPr="008C6832">
        <w:t xml:space="preserve">). </w:t>
      </w:r>
      <w:proofErr w:type="spellStart"/>
      <w:r w:rsidRPr="008C6832">
        <w:t>Radiological</w:t>
      </w:r>
      <w:proofErr w:type="spellEnd"/>
      <w:r w:rsidRPr="008C6832">
        <w:t xml:space="preserve"> </w:t>
      </w:r>
      <w:proofErr w:type="spellStart"/>
      <w:r w:rsidRPr="008C6832">
        <w:t>protection</w:t>
      </w:r>
      <w:proofErr w:type="spellEnd"/>
      <w:r w:rsidRPr="008C6832">
        <w:t xml:space="preserve"> </w:t>
      </w:r>
      <w:proofErr w:type="spellStart"/>
      <w:r w:rsidRPr="008C6832">
        <w:t>against</w:t>
      </w:r>
      <w:proofErr w:type="spellEnd"/>
      <w:r w:rsidRPr="008C6832">
        <w:t xml:space="preserve"> radon </w:t>
      </w:r>
      <w:proofErr w:type="spellStart"/>
      <w:r w:rsidRPr="008C6832">
        <w:t>exposure</w:t>
      </w:r>
      <w:proofErr w:type="spellEnd"/>
      <w:r w:rsidRPr="008C6832">
        <w:t xml:space="preserve">. </w:t>
      </w:r>
      <w:proofErr w:type="spellStart"/>
      <w:r w:rsidRPr="008C6832">
        <w:t>ICRP</w:t>
      </w:r>
      <w:proofErr w:type="spellEnd"/>
      <w:r w:rsidRPr="008C6832">
        <w:t xml:space="preserve"> </w:t>
      </w:r>
      <w:proofErr w:type="spellStart"/>
      <w:r w:rsidRPr="008C6832">
        <w:t>Publication</w:t>
      </w:r>
      <w:proofErr w:type="spellEnd"/>
      <w:r w:rsidRPr="008C6832">
        <w:t xml:space="preserve"> 126. Ann. </w:t>
      </w:r>
      <w:proofErr w:type="spellStart"/>
      <w:r w:rsidRPr="008C6832">
        <w:t>ICRP</w:t>
      </w:r>
      <w:proofErr w:type="spellEnd"/>
      <w:r w:rsidRPr="008C6832">
        <w:t xml:space="preserve"> 43(3), 2014, </w:t>
      </w:r>
      <w:proofErr w:type="spellStart"/>
      <w:r w:rsidRPr="008C6832">
        <w:t>SAGE</w:t>
      </w:r>
      <w:proofErr w:type="spellEnd"/>
      <w:r w:rsidRPr="008C6832">
        <w:t xml:space="preserve"> </w:t>
      </w:r>
      <w:proofErr w:type="spellStart"/>
      <w:r w:rsidRPr="008C6832">
        <w:t>Publications</w:t>
      </w:r>
      <w:proofErr w:type="spellEnd"/>
      <w:r w:rsidRPr="008C6832">
        <w:t xml:space="preserve"> Ltd, 2014, ISBN 978-1473916586</w:t>
      </w:r>
    </w:p>
    <w:p w:rsidR="00E4166B" w:rsidRDefault="00E4166B" w:rsidP="00E4166B">
      <w:proofErr w:type="spellStart"/>
      <w:r w:rsidRPr="008C6832">
        <w:rPr>
          <w:i/>
        </w:rPr>
        <w:t>ICRP</w:t>
      </w:r>
      <w:proofErr w:type="spellEnd"/>
      <w:r w:rsidRPr="008C6832">
        <w:rPr>
          <w:i/>
        </w:rPr>
        <w:t xml:space="preserve"> </w:t>
      </w:r>
      <w:r>
        <w:rPr>
          <w:i/>
        </w:rPr>
        <w:t>137</w:t>
      </w:r>
      <w:r w:rsidRPr="008C6832">
        <w:t xml:space="preserve">, International </w:t>
      </w:r>
      <w:proofErr w:type="spellStart"/>
      <w:r w:rsidRPr="008C6832">
        <w:t>Commission</w:t>
      </w:r>
      <w:proofErr w:type="spellEnd"/>
      <w:r w:rsidRPr="008C6832">
        <w:t xml:space="preserve"> on </w:t>
      </w:r>
      <w:proofErr w:type="spellStart"/>
      <w:r w:rsidRPr="008C6832">
        <w:t>Radiological</w:t>
      </w:r>
      <w:proofErr w:type="spellEnd"/>
      <w:r w:rsidRPr="008C6832">
        <w:t xml:space="preserve"> </w:t>
      </w:r>
      <w:proofErr w:type="spellStart"/>
      <w:r w:rsidRPr="008C6832">
        <w:t>Protection</w:t>
      </w:r>
      <w:proofErr w:type="spellEnd"/>
      <w:r w:rsidRPr="008C6832">
        <w:t xml:space="preserve"> (</w:t>
      </w:r>
      <w:proofErr w:type="spellStart"/>
      <w:r w:rsidRPr="008C6832">
        <w:t>ICRP</w:t>
      </w:r>
      <w:proofErr w:type="spellEnd"/>
      <w:r w:rsidRPr="008C6832">
        <w:t xml:space="preserve">). </w:t>
      </w:r>
      <w:proofErr w:type="spellStart"/>
      <w:r w:rsidRPr="008C6832">
        <w:t>Occupational</w:t>
      </w:r>
      <w:proofErr w:type="spellEnd"/>
      <w:r w:rsidRPr="008C6832">
        <w:t xml:space="preserve"> </w:t>
      </w:r>
      <w:proofErr w:type="spellStart"/>
      <w:r w:rsidRPr="008C6832">
        <w:t>Intakes</w:t>
      </w:r>
      <w:proofErr w:type="spellEnd"/>
      <w:r w:rsidRPr="008C6832">
        <w:t xml:space="preserve"> </w:t>
      </w:r>
      <w:proofErr w:type="spellStart"/>
      <w:r w:rsidRPr="008C6832">
        <w:t>of</w:t>
      </w:r>
      <w:proofErr w:type="spellEnd"/>
      <w:r w:rsidRPr="008C6832">
        <w:t xml:space="preserve"> </w:t>
      </w:r>
      <w:proofErr w:type="spellStart"/>
      <w:r w:rsidRPr="008C6832">
        <w:t>Radionuclides</w:t>
      </w:r>
      <w:proofErr w:type="spellEnd"/>
      <w:r w:rsidRPr="008C6832">
        <w:t xml:space="preserve">: Part 3. </w:t>
      </w:r>
      <w:proofErr w:type="spellStart"/>
      <w:r w:rsidRPr="008C6832">
        <w:t>ICRP</w:t>
      </w:r>
      <w:proofErr w:type="spellEnd"/>
      <w:r w:rsidRPr="008C6832">
        <w:t xml:space="preserve"> </w:t>
      </w:r>
      <w:proofErr w:type="spellStart"/>
      <w:r w:rsidRPr="008C6832">
        <w:t>Publication</w:t>
      </w:r>
      <w:proofErr w:type="spellEnd"/>
      <w:r w:rsidRPr="008C6832">
        <w:t xml:space="preserve"> 137. Ann. </w:t>
      </w:r>
      <w:proofErr w:type="spellStart"/>
      <w:r w:rsidRPr="008C6832">
        <w:t>ICRP</w:t>
      </w:r>
      <w:proofErr w:type="spellEnd"/>
      <w:r w:rsidRPr="008C6832">
        <w:t xml:space="preserve"> 45(3/4), </w:t>
      </w:r>
      <w:proofErr w:type="spellStart"/>
      <w:r w:rsidRPr="008C6832">
        <w:t>im</w:t>
      </w:r>
      <w:proofErr w:type="spellEnd"/>
      <w:r w:rsidRPr="008C6832">
        <w:t xml:space="preserve"> </w:t>
      </w:r>
      <w:proofErr w:type="spellStart"/>
      <w:r w:rsidRPr="008C6832">
        <w:t>Dru</w:t>
      </w:r>
      <w:r w:rsidR="00D3221C">
        <w:t>ck</w:t>
      </w:r>
      <w:proofErr w:type="spellEnd"/>
    </w:p>
    <w:sectPr w:rsidR="00E4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1D2E"/>
    <w:multiLevelType w:val="hybridMultilevel"/>
    <w:tmpl w:val="D70216E0"/>
    <w:lvl w:ilvl="0" w:tplc="021A132A">
      <w:start w:val="1"/>
      <w:numFmt w:val="lowerLetter"/>
      <w:pStyle w:val="Odstavecseseznamem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1B6C"/>
    <w:multiLevelType w:val="hybridMultilevel"/>
    <w:tmpl w:val="A420D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A7A"/>
    <w:multiLevelType w:val="multilevel"/>
    <w:tmpl w:val="4B84669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B"/>
    <w:rsid w:val="000E149B"/>
    <w:rsid w:val="000F556E"/>
    <w:rsid w:val="00110F62"/>
    <w:rsid w:val="001411FC"/>
    <w:rsid w:val="001C4AC4"/>
    <w:rsid w:val="001E4D93"/>
    <w:rsid w:val="002D4F9B"/>
    <w:rsid w:val="00463E40"/>
    <w:rsid w:val="00644C3E"/>
    <w:rsid w:val="00657ABF"/>
    <w:rsid w:val="00813A17"/>
    <w:rsid w:val="00871469"/>
    <w:rsid w:val="008A4576"/>
    <w:rsid w:val="008A5B51"/>
    <w:rsid w:val="008C1E88"/>
    <w:rsid w:val="00A62213"/>
    <w:rsid w:val="00B82895"/>
    <w:rsid w:val="00D3221C"/>
    <w:rsid w:val="00D90880"/>
    <w:rsid w:val="00DE086E"/>
    <w:rsid w:val="00E008A3"/>
    <w:rsid w:val="00E4166B"/>
    <w:rsid w:val="00E47166"/>
    <w:rsid w:val="00E87576"/>
    <w:rsid w:val="00F5069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6B"/>
    <w:pPr>
      <w:spacing w:after="160" w:line="259" w:lineRule="auto"/>
      <w:jc w:val="both"/>
    </w:pPr>
    <w:rPr>
      <w:sz w:val="24"/>
      <w:szCs w:val="23"/>
    </w:rPr>
  </w:style>
  <w:style w:type="paragraph" w:styleId="Nadpis1">
    <w:name w:val="heading 1"/>
    <w:aliases w:val="SZP 1"/>
    <w:basedOn w:val="Normln"/>
    <w:next w:val="Normln"/>
    <w:link w:val="Nadpis1Char"/>
    <w:qFormat/>
    <w:rsid w:val="00657ABF"/>
    <w:pPr>
      <w:keepNext/>
      <w:keepLines/>
      <w:numPr>
        <w:numId w:val="10"/>
      </w:numPr>
      <w:spacing w:before="480" w:after="120"/>
      <w:jc w:val="left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657ABF"/>
    <w:pPr>
      <w:keepNext/>
      <w:keepLines/>
      <w:numPr>
        <w:ilvl w:val="1"/>
        <w:numId w:val="10"/>
      </w:numPr>
      <w:spacing w:before="200" w:after="120"/>
      <w:outlineLvl w:val="1"/>
    </w:pPr>
    <w:rPr>
      <w:rFonts w:ascii="Times New Roman tučné" w:eastAsiaTheme="majorEastAsia" w:hAnsi="Times New Roman tučné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7ABF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7AB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7AB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7AB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7AB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7AB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7AB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podnadpisem">
    <w:name w:val="číslování pod nadpisem"/>
    <w:basedOn w:val="Odstavecseseznamem"/>
    <w:qFormat/>
    <w:rsid w:val="00657ABF"/>
    <w:pPr>
      <w:numPr>
        <w:numId w:val="0"/>
      </w:numPr>
    </w:pPr>
  </w:style>
  <w:style w:type="paragraph" w:styleId="Odstavecseseznamem">
    <w:name w:val="List Paragraph"/>
    <w:aliases w:val="číslování normal"/>
    <w:basedOn w:val="Normln"/>
    <w:autoRedefine/>
    <w:uiPriority w:val="34"/>
    <w:qFormat/>
    <w:rsid w:val="00657ABF"/>
    <w:pPr>
      <w:numPr>
        <w:numId w:val="12"/>
      </w:numPr>
      <w:tabs>
        <w:tab w:val="left" w:pos="1134"/>
      </w:tabs>
      <w:spacing w:after="120" w:line="240" w:lineRule="auto"/>
    </w:pPr>
  </w:style>
  <w:style w:type="paragraph" w:customStyle="1" w:styleId="Nzev2">
    <w:name w:val="Název 2"/>
    <w:basedOn w:val="Normln"/>
    <w:qFormat/>
    <w:rsid w:val="00657ABF"/>
    <w:pPr>
      <w:spacing w:before="120"/>
    </w:pPr>
    <w:rPr>
      <w:b/>
      <w:u w:val="single"/>
    </w:rPr>
  </w:style>
  <w:style w:type="character" w:customStyle="1" w:styleId="Nadpis1Char">
    <w:name w:val="Nadpis 1 Char"/>
    <w:aliases w:val="SZP 1 Char"/>
    <w:basedOn w:val="Standardnpsmoodstavce"/>
    <w:link w:val="Nadpis1"/>
    <w:rsid w:val="00657ABF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657ABF"/>
    <w:rPr>
      <w:rFonts w:ascii="Times New Roman tučné" w:eastAsiaTheme="majorEastAsia" w:hAnsi="Times New Roman tučné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57ABF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657A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7A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7A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7A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7A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7A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657ABF"/>
    <w:pPr>
      <w:spacing w:before="60" w:after="60" w:line="240" w:lineRule="auto"/>
      <w:ind w:left="1134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57ABF"/>
    <w:rPr>
      <w:rFonts w:asciiTheme="majorHAnsi" w:eastAsiaTheme="majorEastAsia" w:hAnsiTheme="majorHAnsi" w:cstheme="majorBidi"/>
      <w:b/>
      <w:spacing w:val="5"/>
      <w:kern w:val="28"/>
      <w:szCs w:val="52"/>
      <w:u w:val="single"/>
    </w:rPr>
  </w:style>
  <w:style w:type="character" w:styleId="Siln">
    <w:name w:val="Strong"/>
    <w:basedOn w:val="Standardnpsmoodstavce"/>
    <w:qFormat/>
    <w:rsid w:val="00657ABF"/>
    <w:rPr>
      <w:b/>
      <w:bCs/>
    </w:rPr>
  </w:style>
  <w:style w:type="paragraph" w:styleId="Bezmezer">
    <w:name w:val="No Spacing"/>
    <w:aliases w:val="za názvem normální"/>
    <w:link w:val="BezmezerChar"/>
    <w:autoRedefine/>
    <w:uiPriority w:val="1"/>
    <w:qFormat/>
    <w:rsid w:val="00657ABF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BezmezerChar">
    <w:name w:val="Bez mezer Char"/>
    <w:aliases w:val="za názvem normální Char"/>
    <w:basedOn w:val="Standardnpsmoodstavce"/>
    <w:link w:val="Bezmezer"/>
    <w:uiPriority w:val="1"/>
    <w:rsid w:val="00657ABF"/>
    <w:rPr>
      <w:rFonts w:ascii="Times New Roman" w:hAnsi="Times New Roman"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657AB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57AB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7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7ABF"/>
    <w:rPr>
      <w:b/>
      <w:bCs/>
      <w:i/>
      <w:iCs/>
      <w:color w:val="4F81BD" w:themeColor="accent1"/>
    </w:rPr>
  </w:style>
  <w:style w:type="character" w:styleId="Nzevknihy">
    <w:name w:val="Book Title"/>
    <w:basedOn w:val="Standardnpsmoodstavce"/>
    <w:uiPriority w:val="33"/>
    <w:qFormat/>
    <w:rsid w:val="00657ABF"/>
    <w:rPr>
      <w:b w:val="0"/>
      <w:bCs/>
      <w:i w:val="0"/>
      <w:caps w:val="0"/>
      <w:smallCaps w:val="0"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57ABF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1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4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4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6B"/>
    <w:pPr>
      <w:spacing w:after="160" w:line="259" w:lineRule="auto"/>
      <w:jc w:val="both"/>
    </w:pPr>
    <w:rPr>
      <w:sz w:val="24"/>
      <w:szCs w:val="23"/>
    </w:rPr>
  </w:style>
  <w:style w:type="paragraph" w:styleId="Nadpis1">
    <w:name w:val="heading 1"/>
    <w:aliases w:val="SZP 1"/>
    <w:basedOn w:val="Normln"/>
    <w:next w:val="Normln"/>
    <w:link w:val="Nadpis1Char"/>
    <w:qFormat/>
    <w:rsid w:val="00657ABF"/>
    <w:pPr>
      <w:keepNext/>
      <w:keepLines/>
      <w:numPr>
        <w:numId w:val="10"/>
      </w:numPr>
      <w:spacing w:before="480" w:after="120"/>
      <w:jc w:val="left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657ABF"/>
    <w:pPr>
      <w:keepNext/>
      <w:keepLines/>
      <w:numPr>
        <w:ilvl w:val="1"/>
        <w:numId w:val="10"/>
      </w:numPr>
      <w:spacing w:before="200" w:after="120"/>
      <w:outlineLvl w:val="1"/>
    </w:pPr>
    <w:rPr>
      <w:rFonts w:ascii="Times New Roman tučné" w:eastAsiaTheme="majorEastAsia" w:hAnsi="Times New Roman tučné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7ABF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7AB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7AB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7AB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7AB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7AB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7AB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podnadpisem">
    <w:name w:val="číslování pod nadpisem"/>
    <w:basedOn w:val="Odstavecseseznamem"/>
    <w:qFormat/>
    <w:rsid w:val="00657ABF"/>
    <w:pPr>
      <w:numPr>
        <w:numId w:val="0"/>
      </w:numPr>
    </w:pPr>
  </w:style>
  <w:style w:type="paragraph" w:styleId="Odstavecseseznamem">
    <w:name w:val="List Paragraph"/>
    <w:aliases w:val="číslování normal"/>
    <w:basedOn w:val="Normln"/>
    <w:autoRedefine/>
    <w:uiPriority w:val="34"/>
    <w:qFormat/>
    <w:rsid w:val="00657ABF"/>
    <w:pPr>
      <w:numPr>
        <w:numId w:val="12"/>
      </w:numPr>
      <w:tabs>
        <w:tab w:val="left" w:pos="1134"/>
      </w:tabs>
      <w:spacing w:after="120" w:line="240" w:lineRule="auto"/>
    </w:pPr>
  </w:style>
  <w:style w:type="paragraph" w:customStyle="1" w:styleId="Nzev2">
    <w:name w:val="Název 2"/>
    <w:basedOn w:val="Normln"/>
    <w:qFormat/>
    <w:rsid w:val="00657ABF"/>
    <w:pPr>
      <w:spacing w:before="120"/>
    </w:pPr>
    <w:rPr>
      <w:b/>
      <w:u w:val="single"/>
    </w:rPr>
  </w:style>
  <w:style w:type="character" w:customStyle="1" w:styleId="Nadpis1Char">
    <w:name w:val="Nadpis 1 Char"/>
    <w:aliases w:val="SZP 1 Char"/>
    <w:basedOn w:val="Standardnpsmoodstavce"/>
    <w:link w:val="Nadpis1"/>
    <w:rsid w:val="00657ABF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657ABF"/>
    <w:rPr>
      <w:rFonts w:ascii="Times New Roman tučné" w:eastAsiaTheme="majorEastAsia" w:hAnsi="Times New Roman tučné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57ABF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657A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7A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7A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7A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7A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7A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657ABF"/>
    <w:pPr>
      <w:spacing w:before="60" w:after="60" w:line="240" w:lineRule="auto"/>
      <w:ind w:left="1134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657ABF"/>
    <w:rPr>
      <w:rFonts w:asciiTheme="majorHAnsi" w:eastAsiaTheme="majorEastAsia" w:hAnsiTheme="majorHAnsi" w:cstheme="majorBidi"/>
      <w:b/>
      <w:spacing w:val="5"/>
      <w:kern w:val="28"/>
      <w:szCs w:val="52"/>
      <w:u w:val="single"/>
    </w:rPr>
  </w:style>
  <w:style w:type="character" w:styleId="Siln">
    <w:name w:val="Strong"/>
    <w:basedOn w:val="Standardnpsmoodstavce"/>
    <w:qFormat/>
    <w:rsid w:val="00657ABF"/>
    <w:rPr>
      <w:b/>
      <w:bCs/>
    </w:rPr>
  </w:style>
  <w:style w:type="paragraph" w:styleId="Bezmezer">
    <w:name w:val="No Spacing"/>
    <w:aliases w:val="za názvem normální"/>
    <w:link w:val="BezmezerChar"/>
    <w:autoRedefine/>
    <w:uiPriority w:val="1"/>
    <w:qFormat/>
    <w:rsid w:val="00657ABF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BezmezerChar">
    <w:name w:val="Bez mezer Char"/>
    <w:aliases w:val="za názvem normální Char"/>
    <w:basedOn w:val="Standardnpsmoodstavce"/>
    <w:link w:val="Bezmezer"/>
    <w:uiPriority w:val="1"/>
    <w:rsid w:val="00657ABF"/>
    <w:rPr>
      <w:rFonts w:ascii="Times New Roman" w:hAnsi="Times New Roman"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657AB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57AB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7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7ABF"/>
    <w:rPr>
      <w:b/>
      <w:bCs/>
      <w:i/>
      <w:iCs/>
      <w:color w:val="4F81BD" w:themeColor="accent1"/>
    </w:rPr>
  </w:style>
  <w:style w:type="character" w:styleId="Nzevknihy">
    <w:name w:val="Book Title"/>
    <w:basedOn w:val="Standardnpsmoodstavce"/>
    <w:uiPriority w:val="33"/>
    <w:qFormat/>
    <w:rsid w:val="00657ABF"/>
    <w:rPr>
      <w:b w:val="0"/>
      <w:bCs/>
      <w:i w:val="0"/>
      <w:caps w:val="0"/>
      <w:smallCaps w:val="0"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57ABF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1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4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4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50F9-C16F-4EE9-A08F-CC326EA7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Berčíková</dc:creator>
  <cp:lastModifiedBy>Marcela Berčíková</cp:lastModifiedBy>
  <cp:revision>4</cp:revision>
  <cp:lastPrinted>2018-11-23T10:04:00Z</cp:lastPrinted>
  <dcterms:created xsi:type="dcterms:W3CDTF">2018-11-30T07:01:00Z</dcterms:created>
  <dcterms:modified xsi:type="dcterms:W3CDTF">2018-11-30T07:04:00Z</dcterms:modified>
</cp:coreProperties>
</file>