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D4" w:rsidRDefault="007443D4" w:rsidP="007443D4"/>
    <w:tbl>
      <w:tblPr>
        <w:tblW w:w="13175" w:type="dxa"/>
        <w:tblCellMar>
          <w:left w:w="0" w:type="dxa"/>
          <w:right w:w="0" w:type="dxa"/>
        </w:tblCellMar>
        <w:tblLook w:val="04A0" w:firstRow="1" w:lastRow="0" w:firstColumn="1" w:lastColumn="0" w:noHBand="0" w:noVBand="1"/>
      </w:tblPr>
      <w:tblGrid>
        <w:gridCol w:w="6655"/>
        <w:gridCol w:w="6520"/>
      </w:tblGrid>
      <w:tr w:rsidR="002B404B" w:rsidTr="002B404B">
        <w:tc>
          <w:tcPr>
            <w:tcW w:w="6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404B" w:rsidRDefault="002B404B">
            <w:pPr>
              <w:jc w:val="center"/>
              <w:rPr>
                <w:rFonts w:ascii="Arial" w:hAnsi="Arial" w:cs="Arial"/>
                <w:b/>
                <w:bCs/>
                <w:sz w:val="20"/>
                <w:szCs w:val="20"/>
              </w:rPr>
            </w:pPr>
            <w:r>
              <w:rPr>
                <w:rFonts w:ascii="Arial" w:hAnsi="Arial" w:cs="Arial"/>
                <w:b/>
                <w:bCs/>
                <w:sz w:val="20"/>
                <w:szCs w:val="20"/>
              </w:rPr>
              <w:t>Dotaz</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04B" w:rsidRDefault="002B404B">
            <w:pPr>
              <w:jc w:val="center"/>
              <w:rPr>
                <w:rFonts w:ascii="Arial" w:hAnsi="Arial" w:cs="Arial"/>
                <w:b/>
                <w:bCs/>
                <w:sz w:val="20"/>
                <w:szCs w:val="20"/>
              </w:rPr>
            </w:pPr>
            <w:r>
              <w:rPr>
                <w:rFonts w:ascii="Arial" w:hAnsi="Arial" w:cs="Arial"/>
                <w:b/>
                <w:bCs/>
                <w:sz w:val="20"/>
                <w:szCs w:val="20"/>
              </w:rPr>
              <w:t>Odpověď</w:t>
            </w:r>
          </w:p>
        </w:tc>
      </w:tr>
      <w:tr w:rsidR="002B404B" w:rsidTr="002B404B">
        <w:tc>
          <w:tcPr>
            <w:tcW w:w="6655"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2B404B" w:rsidRDefault="002B404B">
            <w:pPr>
              <w:rPr>
                <w:b/>
                <w:bCs/>
              </w:rPr>
            </w:pPr>
            <w:r>
              <w:rPr>
                <w:b/>
                <w:bCs/>
              </w:rPr>
              <w:t>Dotčená část AZ:</w:t>
            </w:r>
          </w:p>
          <w:p w:rsidR="002B404B" w:rsidRDefault="002B404B">
            <w:pPr>
              <w:ind w:left="142"/>
              <w:rPr>
                <w:b/>
                <w:bCs/>
                <w:lang w:eastAsia="cs-CZ"/>
              </w:rPr>
            </w:pPr>
            <w:r>
              <w:rPr>
                <w:b/>
                <w:bCs/>
                <w:lang w:eastAsia="cs-CZ"/>
              </w:rPr>
              <w:t>§ 4 odst. 2 písm. b) NAZ</w:t>
            </w:r>
          </w:p>
          <w:p w:rsidR="002B404B" w:rsidRDefault="002B404B">
            <w:pPr>
              <w:ind w:left="142"/>
              <w:rPr>
                <w:lang w:eastAsia="cs-CZ"/>
              </w:rPr>
            </w:pPr>
            <w:r>
              <w:rPr>
                <w:lang w:eastAsia="cs-CZ"/>
              </w:rPr>
              <w:t>(Pro účely tohoto zákona se rozumí) …</w:t>
            </w:r>
          </w:p>
          <w:p w:rsidR="002B404B" w:rsidRDefault="002B404B">
            <w:pPr>
              <w:ind w:left="142"/>
              <w:rPr>
                <w:lang w:eastAsia="cs-CZ"/>
              </w:rPr>
            </w:pPr>
            <w:r>
              <w:rPr>
                <w:lang w:eastAsia="cs-CZ"/>
              </w:rPr>
              <w:t>činností související s využíváním jaderné energie</w:t>
            </w:r>
          </w:p>
          <w:p w:rsidR="002B404B" w:rsidRDefault="002B404B">
            <w:pPr>
              <w:ind w:left="142"/>
              <w:rPr>
                <w:lang w:eastAsia="cs-CZ"/>
              </w:rPr>
            </w:pPr>
            <w:r>
              <w:rPr>
                <w:lang w:eastAsia="cs-CZ"/>
              </w:rPr>
              <w:t>2. navrhování, výroba, montáž, údržba, opravy a ověřování systémů jaderného zařízení nebo jejich součástí včetně materiálu k jejich výrobě,</w:t>
            </w:r>
          </w:p>
          <w:p w:rsidR="002B404B" w:rsidRDefault="002B404B">
            <w:pPr>
              <w:ind w:left="142"/>
              <w:rPr>
                <w:b/>
                <w:bCs/>
                <w:lang w:eastAsia="cs-CZ"/>
              </w:rPr>
            </w:pPr>
            <w:r>
              <w:rPr>
                <w:b/>
                <w:bCs/>
                <w:lang w:eastAsia="cs-CZ"/>
              </w:rPr>
              <w:t>§ 229 odst. 1:</w:t>
            </w:r>
          </w:p>
          <w:p w:rsidR="002B404B" w:rsidRDefault="002B404B">
            <w:pPr>
              <w:ind w:left="142"/>
              <w:rPr>
                <w:lang w:eastAsia="cs-CZ"/>
              </w:rPr>
            </w:pPr>
            <w:r>
              <w:rPr>
                <w:lang w:eastAsia="cs-CZ"/>
              </w:rPr>
              <w:t xml:space="preserve">Osoby, které vykonávají činnosti upravené v tomto zákoně na základě povolení vydaného podle zákona č. 18/1997 Sb. … jsou povinny přizpůsobit své právní poměry tomuto zákonu, nestanoví-li tento zákon jinak, do 2 let ode dne nabytí účinnosti tohoto zákona </w:t>
            </w:r>
            <w:proofErr w:type="gramStart"/>
            <w:r>
              <w:rPr>
                <w:lang w:eastAsia="cs-CZ"/>
              </w:rPr>
              <w:t>nebo ...</w:t>
            </w:r>
            <w:proofErr w:type="gramEnd"/>
          </w:p>
          <w:p w:rsidR="002B404B" w:rsidRDefault="002B404B">
            <w:pPr>
              <w:rPr>
                <w:b/>
                <w:bCs/>
                <w:lang w:eastAsia="cs-CZ"/>
              </w:rPr>
            </w:pPr>
            <w:r>
              <w:rPr>
                <w:b/>
                <w:bCs/>
                <w:lang w:eastAsia="cs-CZ"/>
              </w:rPr>
              <w:t>Otázka:</w:t>
            </w:r>
          </w:p>
          <w:p w:rsidR="002B404B" w:rsidRDefault="002B404B">
            <w:pPr>
              <w:ind w:left="142"/>
              <w:rPr>
                <w:lang w:eastAsia="cs-CZ"/>
              </w:rPr>
            </w:pPr>
            <w:r>
              <w:rPr>
                <w:lang w:eastAsia="cs-CZ"/>
              </w:rPr>
              <w:t>Držitel povolení podle zákona č. 18/1997 Sb. je povinen přizpůsobit své právní poměry NAZ do 2 let ode dne nabytí jeho účinnosti. Uvedený držitel povolení tedy může až do konce roku 2018 nakupovat vybraná zařízení podle zákona č. 18/1997 Sb. a jeho prováděcích předpisů.</w:t>
            </w:r>
          </w:p>
          <w:p w:rsidR="002B404B" w:rsidRDefault="002B404B">
            <w:pPr>
              <w:ind w:left="142"/>
              <w:rPr>
                <w:lang w:eastAsia="cs-CZ"/>
              </w:rPr>
            </w:pPr>
            <w:r>
              <w:rPr>
                <w:lang w:eastAsia="cs-CZ"/>
              </w:rPr>
              <w:t>Výrobce vybraného zařízení, který není držitelem žádného povolení k činnosti podle § 9 NAZ, provádí však činnosti související s využívání jaderné energie. Pro výrobce (resp. pro všechny osoby, které provádějí činnosti související s využívání jaderné energie) však není v NAZ stanoveno žádné přechodné období.</w:t>
            </w:r>
          </w:p>
          <w:p w:rsidR="002B404B" w:rsidRDefault="002B404B" w:rsidP="00E86336">
            <w:pPr>
              <w:pStyle w:val="Odstavecseseznamem"/>
              <w:numPr>
                <w:ilvl w:val="0"/>
                <w:numId w:val="1"/>
              </w:numPr>
              <w:ind w:left="284" w:hanging="142"/>
              <w:rPr>
                <w:lang w:eastAsia="cs-CZ"/>
              </w:rPr>
            </w:pPr>
            <w:r>
              <w:rPr>
                <w:lang w:eastAsia="cs-CZ"/>
              </w:rPr>
              <w:t xml:space="preserve">Musí dodavatel, který navrhuje / vyrábí vybrané zařízení, splňovat všechny požadavky NAZ již od </w:t>
            </w:r>
            <w:proofErr w:type="gramStart"/>
            <w:r>
              <w:rPr>
                <w:lang w:eastAsia="cs-CZ"/>
              </w:rPr>
              <w:t>1.1.2017</w:t>
            </w:r>
            <w:proofErr w:type="gramEnd"/>
            <w:r>
              <w:rPr>
                <w:lang w:eastAsia="cs-CZ"/>
              </w:rPr>
              <w:t>?</w:t>
            </w:r>
          </w:p>
          <w:p w:rsidR="002B404B" w:rsidRDefault="002B404B" w:rsidP="00E86336">
            <w:pPr>
              <w:pStyle w:val="Odstavecseseznamem"/>
              <w:numPr>
                <w:ilvl w:val="0"/>
                <w:numId w:val="1"/>
              </w:numPr>
              <w:ind w:left="284" w:hanging="142"/>
              <w:rPr>
                <w:lang w:eastAsia="cs-CZ"/>
              </w:rPr>
            </w:pPr>
            <w:r>
              <w:rPr>
                <w:lang w:eastAsia="cs-CZ"/>
              </w:rPr>
              <w:t>Může dodavatel navrhnout a/nebo vyrobit vybrané zařízení podle požadavků starého atomového zákona a je</w:t>
            </w:r>
            <w:bookmarkStart w:id="0" w:name="_GoBack"/>
            <w:bookmarkEnd w:id="0"/>
            <w:r>
              <w:rPr>
                <w:lang w:eastAsia="cs-CZ"/>
              </w:rPr>
              <w:t xml:space="preserve">ho prováděcích předpisů, když dostane do </w:t>
            </w:r>
            <w:proofErr w:type="gramStart"/>
            <w:r>
              <w:rPr>
                <w:lang w:eastAsia="cs-CZ"/>
              </w:rPr>
              <w:t>31.12.2018</w:t>
            </w:r>
            <w:proofErr w:type="gramEnd"/>
            <w:r>
              <w:rPr>
                <w:lang w:eastAsia="cs-CZ"/>
              </w:rPr>
              <w:t xml:space="preserve"> objednávku od držitele povolení, která je v souladu se starým atomovým zákonem a jeho PP?</w:t>
            </w:r>
          </w:p>
          <w:p w:rsidR="002B404B" w:rsidRDefault="002B404B">
            <w:pPr>
              <w:rPr>
                <w:lang w:eastAsia="cs-CZ"/>
              </w:rPr>
            </w:pPr>
          </w:p>
          <w:p w:rsidR="002B404B" w:rsidRDefault="002B404B"/>
        </w:tc>
        <w:tc>
          <w:tcPr>
            <w:tcW w:w="6520" w:type="dxa"/>
            <w:tcBorders>
              <w:top w:val="nil"/>
              <w:left w:val="nil"/>
              <w:bottom w:val="single" w:sz="8" w:space="0" w:color="auto"/>
              <w:right w:val="single" w:sz="8" w:space="0" w:color="auto"/>
            </w:tcBorders>
            <w:shd w:val="clear" w:color="auto" w:fill="FFFFCC"/>
            <w:tcMar>
              <w:top w:w="0" w:type="dxa"/>
              <w:left w:w="108" w:type="dxa"/>
              <w:bottom w:w="0" w:type="dxa"/>
              <w:right w:w="108" w:type="dxa"/>
            </w:tcMar>
            <w:hideMark/>
          </w:tcPr>
          <w:p w:rsidR="002B404B" w:rsidRPr="002B404B" w:rsidRDefault="002B404B">
            <w:pPr>
              <w:rPr>
                <w:rFonts w:ascii="Arial" w:hAnsi="Arial" w:cs="Arial"/>
                <w:b/>
                <w:sz w:val="20"/>
                <w:szCs w:val="20"/>
              </w:rPr>
            </w:pPr>
            <w:r w:rsidRPr="002B404B">
              <w:rPr>
                <w:rFonts w:ascii="Arial" w:hAnsi="Arial" w:cs="Arial"/>
                <w:b/>
                <w:sz w:val="20"/>
                <w:szCs w:val="20"/>
              </w:rPr>
              <w:t>Vyjádření SÚJB:</w:t>
            </w:r>
          </w:p>
          <w:p w:rsidR="002B404B" w:rsidRDefault="002B404B" w:rsidP="00A47772">
            <w:pPr>
              <w:rPr>
                <w:rFonts w:ascii="Arial" w:hAnsi="Arial" w:cs="Arial"/>
                <w:sz w:val="20"/>
                <w:szCs w:val="20"/>
              </w:rPr>
            </w:pPr>
            <w:r>
              <w:rPr>
                <w:rFonts w:ascii="Arial" w:hAnsi="Arial" w:cs="Arial"/>
                <w:sz w:val="20"/>
                <w:szCs w:val="20"/>
              </w:rPr>
              <w:t>Přechodné ustanovení § 229 odst. 1 atomového zákona se vztahuje pouze na držitele povolení, resp. na dosavadní držitele povolení. Dodavatelům těchto držitelů povolení atomový zákon ze svých požadavků žádnou dočasnou výjimku neposkytuje. Jinak řečeno platí, že zatímco držitel povolení má na zahájení plnění požadavků podle nového zákona 2 (ale popř. i 1 nebo 3, v závislosti na typu požadavků) roky, dodavatel musí plnit požadavky nového atomového zákona ihned.</w:t>
            </w:r>
          </w:p>
          <w:p w:rsidR="002B404B" w:rsidRDefault="002B404B" w:rsidP="00A47772">
            <w:pPr>
              <w:rPr>
                <w:rFonts w:ascii="Arial" w:hAnsi="Arial" w:cs="Arial"/>
                <w:sz w:val="20"/>
                <w:szCs w:val="20"/>
              </w:rPr>
            </w:pPr>
            <w:r>
              <w:rPr>
                <w:rFonts w:ascii="Arial" w:hAnsi="Arial" w:cs="Arial"/>
                <w:sz w:val="20"/>
                <w:szCs w:val="20"/>
              </w:rPr>
              <w:t>Je zřejmé, že uvedené dva postupy se střetávají, neboť odběratelem je právě držitel povolení, který má zákonem připuštěnu dočasnou výjimku. Ten může postupovat podle staré legislativy a bude tedy moci dodávku objednávat v duchu staré legislativy. Dodavatel by však nebyl oprávněn takovou dodávku vyrobit a dodat, což by vedlo k faktickému (nikoli právnímu) popření zákonem stanoveného přechodného období na straně držitele povolení.</w:t>
            </w:r>
          </w:p>
          <w:p w:rsidR="002B404B" w:rsidRDefault="002B404B" w:rsidP="00A47772">
            <w:pPr>
              <w:rPr>
                <w:rFonts w:ascii="Arial" w:hAnsi="Arial" w:cs="Arial"/>
                <w:sz w:val="20"/>
                <w:szCs w:val="20"/>
              </w:rPr>
            </w:pPr>
            <w:r>
              <w:rPr>
                <w:rFonts w:ascii="Arial" w:hAnsi="Arial" w:cs="Arial"/>
                <w:sz w:val="20"/>
                <w:szCs w:val="20"/>
              </w:rPr>
              <w:t>Takový postup je však právně nežádoucí, neboť by porušoval práva založená držiteli povolení zákonem (právo dočasně postupovat podle staré legislativy). V zájmu ochrany práv držitele povolení je tedy v této konkrétní situaci nutno interpretovat zákon tak, že s ohledem na přechodné ustanovení § 229 odst. 1 atomového zákona a na oprávnění držitele povolení postupovat podle dosavadních právních předpisů je i dodavatel oprávněn tomuto držiteli povolení dodávat výrobek (vybrané zařízení) podle dosavadních právních předpisů, a to po dobu přechodného období. V ostatních případech však již musí dodavatel postupovat podle požadavků nové legislativy. Těmito ostatními případy mohou být např. situace, kdy se jedná o vybrané zařízení, které není dodáváno přímo držiteli povolení, který může aplikovat přechodné ustanovení, nebo o dodavatele nového (rozuměj v režimu zákona č. 263/2016 Sb.) držitele povolení.</w:t>
            </w:r>
          </w:p>
          <w:p w:rsidR="002B404B" w:rsidRDefault="002B404B" w:rsidP="00A47772">
            <w:pPr>
              <w:rPr>
                <w:rFonts w:ascii="Arial" w:hAnsi="Arial" w:cs="Arial"/>
                <w:sz w:val="20"/>
                <w:szCs w:val="20"/>
              </w:rPr>
            </w:pPr>
            <w:r>
              <w:rPr>
                <w:rFonts w:ascii="Arial" w:hAnsi="Arial" w:cs="Arial"/>
                <w:sz w:val="20"/>
                <w:szCs w:val="20"/>
              </w:rPr>
              <w:t>Shrnuto:</w:t>
            </w:r>
          </w:p>
          <w:p w:rsidR="002B404B" w:rsidRDefault="002B404B" w:rsidP="0031456D">
            <w:pPr>
              <w:pStyle w:val="Odstavecseseznamem"/>
              <w:numPr>
                <w:ilvl w:val="0"/>
                <w:numId w:val="3"/>
              </w:numPr>
              <w:rPr>
                <w:rFonts w:ascii="Arial" w:hAnsi="Arial" w:cs="Arial"/>
                <w:sz w:val="20"/>
                <w:szCs w:val="20"/>
              </w:rPr>
            </w:pPr>
            <w:r>
              <w:rPr>
                <w:rFonts w:ascii="Arial" w:hAnsi="Arial" w:cs="Arial"/>
                <w:sz w:val="20"/>
                <w:szCs w:val="20"/>
              </w:rPr>
              <w:t xml:space="preserve">Dodavatel je obecně povinen postupovat podle nové atomové legislativy, </w:t>
            </w:r>
          </w:p>
          <w:p w:rsidR="002B404B" w:rsidRPr="0031456D" w:rsidRDefault="002B404B" w:rsidP="00643F01">
            <w:pPr>
              <w:pStyle w:val="Odstavecseseznamem"/>
              <w:numPr>
                <w:ilvl w:val="0"/>
                <w:numId w:val="3"/>
              </w:numPr>
              <w:rPr>
                <w:rFonts w:ascii="Arial" w:hAnsi="Arial" w:cs="Arial"/>
                <w:sz w:val="20"/>
                <w:szCs w:val="20"/>
              </w:rPr>
            </w:pPr>
            <w:r>
              <w:rPr>
                <w:rFonts w:ascii="Arial" w:hAnsi="Arial" w:cs="Arial"/>
                <w:sz w:val="20"/>
                <w:szCs w:val="20"/>
              </w:rPr>
              <w:t>V případě, že vyrábí a dodává zařízení pro držitele povolení, na kterého se vztahuje přechodné období podle § 229 odst. 1 atomového zákona, smí dodavatel postupovat podle dosavadních právních předpisů.</w:t>
            </w:r>
          </w:p>
        </w:tc>
      </w:tr>
      <w:tr w:rsidR="002B404B" w:rsidTr="002B404B">
        <w:tc>
          <w:tcPr>
            <w:tcW w:w="6655"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2B404B" w:rsidRDefault="002B404B">
            <w:pPr>
              <w:rPr>
                <w:b/>
                <w:bCs/>
              </w:rPr>
            </w:pPr>
            <w:r>
              <w:rPr>
                <w:b/>
                <w:bCs/>
              </w:rPr>
              <w:t>Dotčená část AZ:</w:t>
            </w:r>
          </w:p>
          <w:p w:rsidR="002B404B" w:rsidRDefault="002B404B">
            <w:pPr>
              <w:ind w:left="142"/>
              <w:rPr>
                <w:b/>
                <w:bCs/>
                <w:lang w:eastAsia="cs-CZ"/>
              </w:rPr>
            </w:pPr>
            <w:r>
              <w:rPr>
                <w:b/>
                <w:bCs/>
                <w:lang w:eastAsia="cs-CZ"/>
              </w:rPr>
              <w:t>§ 229 odst. 1:</w:t>
            </w:r>
          </w:p>
          <w:p w:rsidR="002B404B" w:rsidRDefault="002B404B">
            <w:pPr>
              <w:ind w:left="142"/>
              <w:rPr>
                <w:lang w:eastAsia="cs-CZ"/>
              </w:rPr>
            </w:pPr>
            <w:r>
              <w:rPr>
                <w:lang w:eastAsia="cs-CZ"/>
              </w:rPr>
              <w:t>Osoby, které vykonávají činnosti upravené v tomto zákoně na základě povolení vydaného podle zákona č. 18/1997 Sb. … do 1 roku ode dne nabytí účinnosti tohoto zákona, jde-li o činnosti v rámci expozičních situací.</w:t>
            </w:r>
          </w:p>
          <w:p w:rsidR="002B404B" w:rsidRDefault="002B404B">
            <w:pPr>
              <w:ind w:left="142"/>
              <w:rPr>
                <w:b/>
                <w:bCs/>
                <w:lang w:eastAsia="cs-CZ"/>
              </w:rPr>
            </w:pPr>
            <w:r>
              <w:rPr>
                <w:b/>
                <w:bCs/>
                <w:lang w:eastAsia="cs-CZ"/>
              </w:rPr>
              <w:t>§ 231 odst. 4:</w:t>
            </w:r>
          </w:p>
          <w:p w:rsidR="002B404B" w:rsidRDefault="002B404B">
            <w:pPr>
              <w:ind w:left="142"/>
              <w:rPr>
                <w:lang w:eastAsia="cs-CZ"/>
              </w:rPr>
            </w:pPr>
            <w:r>
              <w:rPr>
                <w:lang w:eastAsia="cs-CZ"/>
              </w:rPr>
              <w:t>... Osoba, která zavedla systém jakosti a která je podle tohoto zákona povinna zavést systém řízení, je povinna jej uvést do souladu s požadavky na systém řízení stanovenými tímto zákonem do 3 let ode dne nabytí účinnosti tohoto zákona.</w:t>
            </w:r>
          </w:p>
          <w:p w:rsidR="002B404B" w:rsidRDefault="002B404B">
            <w:pPr>
              <w:rPr>
                <w:b/>
                <w:bCs/>
                <w:lang w:eastAsia="cs-CZ"/>
              </w:rPr>
            </w:pPr>
            <w:r>
              <w:rPr>
                <w:b/>
                <w:bCs/>
                <w:lang w:eastAsia="cs-CZ"/>
              </w:rPr>
              <w:t>Otázka:</w:t>
            </w:r>
          </w:p>
          <w:p w:rsidR="002B404B" w:rsidRDefault="002B404B">
            <w:pPr>
              <w:ind w:left="142"/>
              <w:rPr>
                <w:lang w:eastAsia="cs-CZ"/>
              </w:rPr>
            </w:pPr>
            <w:r>
              <w:rPr>
                <w:lang w:eastAsia="cs-CZ"/>
              </w:rPr>
              <w:t>Jaká je přechodné období týkající se programů zabezpečování jakosti / programů systému řízení pro činnosti v rámci expozičních situací?</w:t>
            </w:r>
          </w:p>
          <w:p w:rsidR="002B404B" w:rsidRDefault="002B404B">
            <w:pPr>
              <w:rPr>
                <w:b/>
                <w:bCs/>
              </w:rPr>
            </w:pPr>
          </w:p>
        </w:tc>
        <w:tc>
          <w:tcPr>
            <w:tcW w:w="6520"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2B404B" w:rsidRPr="002B404B" w:rsidRDefault="002B404B">
            <w:pPr>
              <w:rPr>
                <w:rFonts w:ascii="Arial" w:hAnsi="Arial" w:cs="Arial"/>
                <w:b/>
                <w:sz w:val="20"/>
                <w:szCs w:val="20"/>
              </w:rPr>
            </w:pPr>
            <w:r w:rsidRPr="002B404B">
              <w:rPr>
                <w:rFonts w:ascii="Arial" w:hAnsi="Arial" w:cs="Arial"/>
                <w:b/>
                <w:sz w:val="20"/>
                <w:szCs w:val="20"/>
              </w:rPr>
              <w:t>Vyjádření SÚJB:</w:t>
            </w:r>
          </w:p>
          <w:p w:rsidR="002B404B" w:rsidRDefault="002B404B">
            <w:pPr>
              <w:rPr>
                <w:rFonts w:ascii="Arial" w:hAnsi="Arial" w:cs="Arial"/>
                <w:sz w:val="20"/>
                <w:szCs w:val="20"/>
              </w:rPr>
            </w:pPr>
            <w:r w:rsidRPr="00104D33">
              <w:rPr>
                <w:rFonts w:ascii="Arial" w:hAnsi="Arial" w:cs="Arial"/>
                <w:sz w:val="20"/>
                <w:szCs w:val="20"/>
              </w:rPr>
              <w:t>Přechodné stanovení § 231 odst. 4 zákona č. 263/2016 Sb., atomový zákon, je speciální vůči obecnému přechodnému ustanovení § 229 odst. 1 téhož zákona. Toto ustanovení se výslovně vztahuje na veškeré „požadavky na systém řízení“ podle atomového zákona</w:t>
            </w:r>
            <w:r>
              <w:rPr>
                <w:rFonts w:ascii="Arial" w:hAnsi="Arial" w:cs="Arial"/>
                <w:sz w:val="20"/>
                <w:szCs w:val="20"/>
              </w:rPr>
              <w:t xml:space="preserve"> a nerozlišuje činnosti v rámci expozičních situací nebo jiné</w:t>
            </w:r>
            <w:r w:rsidRPr="00104D33">
              <w:rPr>
                <w:rFonts w:ascii="Arial" w:hAnsi="Arial" w:cs="Arial"/>
                <w:sz w:val="20"/>
                <w:szCs w:val="20"/>
              </w:rPr>
              <w:t xml:space="preserve">. </w:t>
            </w:r>
            <w:r>
              <w:rPr>
                <w:rFonts w:ascii="Arial" w:hAnsi="Arial" w:cs="Arial"/>
                <w:sz w:val="20"/>
                <w:szCs w:val="20"/>
              </w:rPr>
              <w:t>„P</w:t>
            </w:r>
            <w:r w:rsidRPr="00104D33">
              <w:rPr>
                <w:rFonts w:ascii="Arial" w:hAnsi="Arial" w:cs="Arial"/>
                <w:sz w:val="20"/>
                <w:szCs w:val="20"/>
              </w:rPr>
              <w:t>ožadavky na systém řízení</w:t>
            </w:r>
            <w:r>
              <w:rPr>
                <w:rFonts w:ascii="Arial" w:hAnsi="Arial" w:cs="Arial"/>
                <w:sz w:val="20"/>
                <w:szCs w:val="20"/>
              </w:rPr>
              <w:t>“</w:t>
            </w:r>
            <w:r w:rsidRPr="00104D33">
              <w:rPr>
                <w:rFonts w:ascii="Arial" w:hAnsi="Arial" w:cs="Arial"/>
                <w:sz w:val="20"/>
                <w:szCs w:val="20"/>
              </w:rPr>
              <w:t xml:space="preserve"> se z povahy věci rozumí též požadavky vyhlášky č. 408/2016 Sb., o systému řízení, neboť ty pouze provádějí (detailně rozvádějí) základní povinnosti stanovené zákonem. Mezi požadavky na systém řízení je nutno řadit i požadavky na program systému řízení, neboť ten patří, dle § 14 písm. e) vyhlášky, mezi dokumentaci systému řízení (a nakonec jsou požadavky na něj systematicky do vyhlášky také zařazeny). I pro dokumentaci systému řízení, potažmo program systému řízení, platí tříleté přechodné období. Toto pravidlo je dále doplněno § 231 odst. 5 atomového zákona, který zavádí fikci shody dosavadního programu zabezpečování jakosti s programem systému řízení. Rovněž z teleologického úhlu pohledu by nebylo vhodné stanovovat pro program systému řízení jinou přechodnou lhůtu, protože ostatní požadavky na systém řízení by ještě nemusely být aplikovány.</w:t>
            </w:r>
          </w:p>
          <w:p w:rsidR="002B404B" w:rsidRDefault="002B404B" w:rsidP="00104D33">
            <w:pPr>
              <w:rPr>
                <w:rFonts w:ascii="Arial" w:hAnsi="Arial" w:cs="Arial"/>
                <w:sz w:val="20"/>
                <w:szCs w:val="20"/>
              </w:rPr>
            </w:pPr>
            <w:r>
              <w:rPr>
                <w:rFonts w:ascii="Arial" w:hAnsi="Arial" w:cs="Arial"/>
                <w:sz w:val="20"/>
                <w:szCs w:val="20"/>
              </w:rPr>
              <w:t>Pro adaptaci programu zabezpečování jakosti pro oblast činností v rámci expozičních situací tedy platí obecné tříleté přechodné období. Tímto by nemělo dojít ani k narušení transpozice směrnice 2013/59/Euratom, pro kterou platí ono kratší jednoleté přechodné období, neboť ta zmiňuje systémy řízení spíše rámcově a způsobem, který naplňovaly i dosavadní právní předpisy.</w:t>
            </w:r>
          </w:p>
        </w:tc>
      </w:tr>
    </w:tbl>
    <w:p w:rsidR="00861685" w:rsidRDefault="00861685"/>
    <w:sectPr w:rsidR="00861685" w:rsidSect="007443D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B07FF"/>
    <w:multiLevelType w:val="hybridMultilevel"/>
    <w:tmpl w:val="DD1AF0A0"/>
    <w:lvl w:ilvl="0" w:tplc="C8C6F910">
      <w:start w:val="1"/>
      <w:numFmt w:val="decimal"/>
      <w:lvlText w:val="%1."/>
      <w:lvlJc w:val="left"/>
      <w:pPr>
        <w:ind w:left="86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37D0228"/>
    <w:multiLevelType w:val="hybridMultilevel"/>
    <w:tmpl w:val="A91C1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D4"/>
    <w:rsid w:val="00104D33"/>
    <w:rsid w:val="002116BA"/>
    <w:rsid w:val="002B404B"/>
    <w:rsid w:val="0031456D"/>
    <w:rsid w:val="003F5E04"/>
    <w:rsid w:val="00643F01"/>
    <w:rsid w:val="007443D4"/>
    <w:rsid w:val="007C62B0"/>
    <w:rsid w:val="00861685"/>
    <w:rsid w:val="00A47772"/>
    <w:rsid w:val="00A76D35"/>
    <w:rsid w:val="00B82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43D4"/>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43D4"/>
    <w:pPr>
      <w:ind w:left="720"/>
      <w:contextualSpacing/>
    </w:pPr>
  </w:style>
  <w:style w:type="character" w:styleId="Odkaznakoment">
    <w:name w:val="annotation reference"/>
    <w:basedOn w:val="Standardnpsmoodstavce"/>
    <w:uiPriority w:val="99"/>
    <w:semiHidden/>
    <w:unhideWhenUsed/>
    <w:rsid w:val="00104D33"/>
    <w:rPr>
      <w:sz w:val="16"/>
      <w:szCs w:val="16"/>
    </w:rPr>
  </w:style>
  <w:style w:type="paragraph" w:styleId="Textkomente">
    <w:name w:val="annotation text"/>
    <w:basedOn w:val="Normln"/>
    <w:link w:val="TextkomenteChar"/>
    <w:uiPriority w:val="99"/>
    <w:semiHidden/>
    <w:unhideWhenUsed/>
    <w:rsid w:val="00104D33"/>
    <w:rPr>
      <w:sz w:val="20"/>
      <w:szCs w:val="20"/>
    </w:rPr>
  </w:style>
  <w:style w:type="character" w:customStyle="1" w:styleId="TextkomenteChar">
    <w:name w:val="Text komentáře Char"/>
    <w:basedOn w:val="Standardnpsmoodstavce"/>
    <w:link w:val="Textkomente"/>
    <w:uiPriority w:val="99"/>
    <w:semiHidden/>
    <w:rsid w:val="00104D33"/>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04D33"/>
    <w:rPr>
      <w:b/>
      <w:bCs/>
    </w:rPr>
  </w:style>
  <w:style w:type="character" w:customStyle="1" w:styleId="PedmtkomenteChar">
    <w:name w:val="Předmět komentáře Char"/>
    <w:basedOn w:val="TextkomenteChar"/>
    <w:link w:val="Pedmtkomente"/>
    <w:uiPriority w:val="99"/>
    <w:semiHidden/>
    <w:rsid w:val="00104D33"/>
    <w:rPr>
      <w:rFonts w:ascii="Calibri" w:hAnsi="Calibri" w:cs="Times New Roman"/>
      <w:b/>
      <w:bCs/>
      <w:sz w:val="20"/>
      <w:szCs w:val="20"/>
    </w:rPr>
  </w:style>
  <w:style w:type="paragraph" w:styleId="Textbubliny">
    <w:name w:val="Balloon Text"/>
    <w:basedOn w:val="Normln"/>
    <w:link w:val="TextbublinyChar"/>
    <w:uiPriority w:val="99"/>
    <w:semiHidden/>
    <w:unhideWhenUsed/>
    <w:rsid w:val="00104D33"/>
    <w:rPr>
      <w:rFonts w:ascii="Tahoma" w:hAnsi="Tahoma" w:cs="Tahoma"/>
      <w:sz w:val="16"/>
      <w:szCs w:val="16"/>
    </w:rPr>
  </w:style>
  <w:style w:type="character" w:customStyle="1" w:styleId="TextbublinyChar">
    <w:name w:val="Text bubliny Char"/>
    <w:basedOn w:val="Standardnpsmoodstavce"/>
    <w:link w:val="Textbubliny"/>
    <w:uiPriority w:val="99"/>
    <w:semiHidden/>
    <w:rsid w:val="00104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43D4"/>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43D4"/>
    <w:pPr>
      <w:ind w:left="720"/>
      <w:contextualSpacing/>
    </w:pPr>
  </w:style>
  <w:style w:type="character" w:styleId="Odkaznakoment">
    <w:name w:val="annotation reference"/>
    <w:basedOn w:val="Standardnpsmoodstavce"/>
    <w:uiPriority w:val="99"/>
    <w:semiHidden/>
    <w:unhideWhenUsed/>
    <w:rsid w:val="00104D33"/>
    <w:rPr>
      <w:sz w:val="16"/>
      <w:szCs w:val="16"/>
    </w:rPr>
  </w:style>
  <w:style w:type="paragraph" w:styleId="Textkomente">
    <w:name w:val="annotation text"/>
    <w:basedOn w:val="Normln"/>
    <w:link w:val="TextkomenteChar"/>
    <w:uiPriority w:val="99"/>
    <w:semiHidden/>
    <w:unhideWhenUsed/>
    <w:rsid w:val="00104D33"/>
    <w:rPr>
      <w:sz w:val="20"/>
      <w:szCs w:val="20"/>
    </w:rPr>
  </w:style>
  <w:style w:type="character" w:customStyle="1" w:styleId="TextkomenteChar">
    <w:name w:val="Text komentáře Char"/>
    <w:basedOn w:val="Standardnpsmoodstavce"/>
    <w:link w:val="Textkomente"/>
    <w:uiPriority w:val="99"/>
    <w:semiHidden/>
    <w:rsid w:val="00104D33"/>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04D33"/>
    <w:rPr>
      <w:b/>
      <w:bCs/>
    </w:rPr>
  </w:style>
  <w:style w:type="character" w:customStyle="1" w:styleId="PedmtkomenteChar">
    <w:name w:val="Předmět komentáře Char"/>
    <w:basedOn w:val="TextkomenteChar"/>
    <w:link w:val="Pedmtkomente"/>
    <w:uiPriority w:val="99"/>
    <w:semiHidden/>
    <w:rsid w:val="00104D33"/>
    <w:rPr>
      <w:rFonts w:ascii="Calibri" w:hAnsi="Calibri" w:cs="Times New Roman"/>
      <w:b/>
      <w:bCs/>
      <w:sz w:val="20"/>
      <w:szCs w:val="20"/>
    </w:rPr>
  </w:style>
  <w:style w:type="paragraph" w:styleId="Textbubliny">
    <w:name w:val="Balloon Text"/>
    <w:basedOn w:val="Normln"/>
    <w:link w:val="TextbublinyChar"/>
    <w:uiPriority w:val="99"/>
    <w:semiHidden/>
    <w:unhideWhenUsed/>
    <w:rsid w:val="00104D33"/>
    <w:rPr>
      <w:rFonts w:ascii="Tahoma" w:hAnsi="Tahoma" w:cs="Tahoma"/>
      <w:sz w:val="16"/>
      <w:szCs w:val="16"/>
    </w:rPr>
  </w:style>
  <w:style w:type="character" w:customStyle="1" w:styleId="TextbublinyChar">
    <w:name w:val="Text bubliny Char"/>
    <w:basedOn w:val="Standardnpsmoodstavce"/>
    <w:link w:val="Textbubliny"/>
    <w:uiPriority w:val="99"/>
    <w:semiHidden/>
    <w:rsid w:val="00104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845</Words>
  <Characters>4986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 Kochánek</dc:creator>
  <cp:lastModifiedBy>Štěpán Kochánek</cp:lastModifiedBy>
  <cp:revision>4</cp:revision>
  <dcterms:created xsi:type="dcterms:W3CDTF">2017-02-16T11:14:00Z</dcterms:created>
  <dcterms:modified xsi:type="dcterms:W3CDTF">2017-02-23T07:51:00Z</dcterms:modified>
</cp:coreProperties>
</file>