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90" w:rsidRPr="001B4C90" w:rsidRDefault="001B4C90" w:rsidP="001B4C90">
      <w:pPr>
        <w:jc w:val="center"/>
        <w:rPr>
          <w:b/>
          <w:sz w:val="24"/>
        </w:rPr>
      </w:pPr>
      <w:r w:rsidRPr="001B4C90">
        <w:rPr>
          <w:b/>
          <w:sz w:val="24"/>
        </w:rPr>
        <w:t>Výkon citlivých činností dle nového atomového zákona a přechodná ustanovení</w:t>
      </w:r>
    </w:p>
    <w:p w:rsidR="0056739E" w:rsidRDefault="008C533B" w:rsidP="00BE6EEE">
      <w:pPr>
        <w:jc w:val="both"/>
      </w:pPr>
      <w:r>
        <w:t xml:space="preserve">Zákon č. 263/2016 Sb., atomový zákon, mění </w:t>
      </w:r>
      <w:r w:rsidR="0056739E">
        <w:t xml:space="preserve">ve svém § 162 odst. 2 </w:t>
      </w:r>
      <w:r>
        <w:t>výčet citlivých činností, který byl doposud uveden v § 2a zákona č. 18/1997 Sb., o mírovém využívání jaderné energie a ionizujícího záření (atomový zákon) a o změně a doplnění některých zákonů.</w:t>
      </w:r>
      <w:r w:rsidR="00BE6EEE">
        <w:t xml:space="preserve"> Atomový zákon však stanoví pouhý výčet citlivých činností a veškerá další právní úprava náleží zákonu č. </w:t>
      </w:r>
      <w:r w:rsidR="00BE6EEE" w:rsidRPr="00BE6EEE">
        <w:t>412/2005 Sb., o ochraně utajovaných informací a o bezpečnostní způsobilosti</w:t>
      </w:r>
      <w:r w:rsidR="00BE6EEE">
        <w:t>.</w:t>
      </w:r>
      <w:r>
        <w:t xml:space="preserve"> </w:t>
      </w:r>
      <w:r w:rsidR="0056739E">
        <w:t xml:space="preserve">Srovnání výčtu citlivých činností dle stávající a nové atomové legislativy je </w:t>
      </w:r>
      <w:r w:rsidR="001B4C90">
        <w:t xml:space="preserve">tedy </w:t>
      </w:r>
      <w:r w:rsidR="0056739E">
        <w:t>následující:</w:t>
      </w:r>
    </w:p>
    <w:p w:rsidR="00AA1526" w:rsidRDefault="00AA1526" w:rsidP="008C533B">
      <w:pPr>
        <w:sectPr w:rsidR="00AA15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1526" w:rsidRPr="00415DF0" w:rsidRDefault="00AA1526" w:rsidP="00AA1526">
      <w:pPr>
        <w:pStyle w:val="Normlnweb"/>
        <w:spacing w:before="43" w:beforeAutospacing="0" w:after="0" w:afterAutospacing="0"/>
        <w:jc w:val="center"/>
        <w:textAlignment w:val="baseline"/>
        <w:rPr>
          <w:rFonts w:asciiTheme="minorHAnsi" w:hAnsiTheme="minorHAnsi"/>
          <w:sz w:val="20"/>
          <w:szCs w:val="20"/>
        </w:rPr>
      </w:pPr>
      <w:r w:rsidRPr="00415DF0">
        <w:rPr>
          <w:rFonts w:asciiTheme="minorHAnsi" w:hAnsiTheme="minorHAnsi" w:cstheme="minorBidi"/>
          <w:color w:val="000000" w:themeColor="text1"/>
          <w:sz w:val="20"/>
          <w:szCs w:val="20"/>
        </w:rPr>
        <w:t>§ 2a</w:t>
      </w:r>
    </w:p>
    <w:p w:rsidR="00AA1526" w:rsidRPr="00415DF0" w:rsidRDefault="00AA1526" w:rsidP="00AA1526">
      <w:pPr>
        <w:pStyle w:val="Normlnweb"/>
        <w:spacing w:before="43" w:beforeAutospacing="0" w:after="0" w:afterAutospacing="0"/>
        <w:jc w:val="center"/>
        <w:textAlignment w:val="baseline"/>
        <w:rPr>
          <w:rFonts w:asciiTheme="minorHAnsi" w:hAnsiTheme="minorHAnsi"/>
          <w:sz w:val="20"/>
          <w:szCs w:val="20"/>
        </w:rPr>
      </w:pPr>
      <w:r w:rsidRPr="00415DF0"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>Citlivé činnosti</w:t>
      </w:r>
    </w:p>
    <w:p w:rsidR="00AA1526" w:rsidRDefault="00AA1526" w:rsidP="00AA1526">
      <w:pPr>
        <w:pStyle w:val="Normlnweb"/>
        <w:spacing w:before="48" w:beforeAutospacing="0" w:after="0" w:afterAutospacing="0"/>
        <w:textAlignment w:val="baseline"/>
      </w:pPr>
      <w:r>
        <w:rPr>
          <w:rFonts w:asciiTheme="minorHAnsi" w:hAnsi="Calibri" w:cstheme="minorBidi"/>
          <w:color w:val="000000" w:themeColor="text1"/>
          <w:sz w:val="20"/>
          <w:szCs w:val="20"/>
        </w:rPr>
        <w:t xml:space="preserve"> Za citlivé činnosti se podle zvláštního právního předpisu </w:t>
      </w:r>
      <w:r>
        <w:rPr>
          <w:rFonts w:asciiTheme="minorHAnsi" w:hAnsi="Calibri" w:cstheme="minorBidi"/>
          <w:color w:val="000000" w:themeColor="text1"/>
          <w:position w:val="6"/>
          <w:sz w:val="20"/>
          <w:szCs w:val="20"/>
          <w:vertAlign w:val="superscript"/>
        </w:rPr>
        <w:t>1c)</w:t>
      </w:r>
      <w:r>
        <w:rPr>
          <w:rFonts w:asciiTheme="minorHAnsi" w:hAnsi="Calibri" w:cstheme="minorBidi"/>
          <w:color w:val="000000" w:themeColor="text1"/>
          <w:sz w:val="20"/>
          <w:szCs w:val="20"/>
        </w:rPr>
        <w:t xml:space="preserve"> považují</w:t>
      </w:r>
    </w:p>
    <w:p w:rsidR="00AA1526" w:rsidRDefault="00AA1526" w:rsidP="00AA1526">
      <w:pPr>
        <w:pStyle w:val="Normlnweb"/>
        <w:spacing w:before="48" w:beforeAutospacing="0" w:after="0" w:afterAutospacing="0"/>
        <w:textAlignment w:val="baseline"/>
      </w:pPr>
      <w:r>
        <w:rPr>
          <w:rFonts w:asciiTheme="minorHAnsi" w:hAnsi="Calibri" w:cstheme="minorBidi"/>
          <w:color w:val="000000" w:themeColor="text1"/>
          <w:sz w:val="20"/>
          <w:szCs w:val="20"/>
        </w:rPr>
        <w:t>a) v oblasti organizace a řízení na jaderném zařízení</w:t>
      </w:r>
    </w:p>
    <w:p w:rsidR="00AA1526" w:rsidRDefault="00AA1526" w:rsidP="00AA1526">
      <w:pPr>
        <w:pStyle w:val="Normlnweb"/>
        <w:spacing w:before="48" w:beforeAutospacing="0" w:after="0" w:afterAutospacing="0"/>
        <w:textAlignment w:val="baseline"/>
      </w:pPr>
      <w:r>
        <w:rPr>
          <w:rFonts w:asciiTheme="minorHAnsi" w:hAnsi="Calibri" w:cstheme="minorBidi"/>
          <w:color w:val="000000" w:themeColor="text1"/>
          <w:sz w:val="20"/>
          <w:szCs w:val="20"/>
        </w:rPr>
        <w:t>1. organizace a řízení provozu jaderného zařízení,</w:t>
      </w:r>
    </w:p>
    <w:p w:rsidR="00AA1526" w:rsidRDefault="00AA1526" w:rsidP="00AA1526">
      <w:pPr>
        <w:pStyle w:val="Normlnweb"/>
        <w:spacing w:before="48" w:beforeAutospacing="0" w:after="0" w:afterAutospacing="0"/>
        <w:textAlignment w:val="baseline"/>
      </w:pPr>
      <w:r>
        <w:rPr>
          <w:rFonts w:asciiTheme="minorHAnsi" w:hAnsi="Calibri" w:cstheme="minorBidi"/>
          <w:color w:val="000000" w:themeColor="text1"/>
          <w:sz w:val="20"/>
          <w:szCs w:val="20"/>
        </w:rPr>
        <w:t>2. organizace nebo řízení činností podle vnitřního havarijního plánu nebo havarijního řádu,</w:t>
      </w:r>
    </w:p>
    <w:p w:rsidR="00AA1526" w:rsidRDefault="00AA1526" w:rsidP="00AA1526">
      <w:pPr>
        <w:pStyle w:val="Normlnweb"/>
        <w:spacing w:before="48" w:beforeAutospacing="0" w:after="0" w:afterAutospacing="0"/>
        <w:textAlignment w:val="baseline"/>
      </w:pPr>
      <w:r>
        <w:rPr>
          <w:rFonts w:asciiTheme="minorHAnsi" w:hAnsi="Calibri" w:cstheme="minorBidi"/>
          <w:color w:val="000000" w:themeColor="text1"/>
          <w:sz w:val="20"/>
          <w:szCs w:val="20"/>
        </w:rPr>
        <w:t>3. organizace nebo řízení činnosti úložišť radioaktivních odpadů,</w:t>
      </w:r>
    </w:p>
    <w:p w:rsidR="00AA1526" w:rsidRDefault="00AA1526" w:rsidP="00AA1526">
      <w:pPr>
        <w:pStyle w:val="Normlnweb"/>
        <w:spacing w:before="48" w:beforeAutospacing="0" w:after="0" w:afterAutospacing="0"/>
        <w:textAlignment w:val="baseline"/>
      </w:pPr>
      <w:r>
        <w:rPr>
          <w:rFonts w:asciiTheme="minorHAnsi" w:hAnsi="Calibri" w:cstheme="minorBidi"/>
          <w:color w:val="000000" w:themeColor="text1"/>
          <w:sz w:val="20"/>
          <w:szCs w:val="20"/>
        </w:rPr>
        <w:t>4. směnové řízení jaderné elektrárny včetně jednotlivých energetických bloků,</w:t>
      </w:r>
    </w:p>
    <w:p w:rsidR="00AA1526" w:rsidRDefault="00AA1526" w:rsidP="00AA1526">
      <w:pPr>
        <w:pStyle w:val="Normlnweb"/>
        <w:spacing w:before="48" w:beforeAutospacing="0" w:after="0" w:afterAutospacing="0"/>
        <w:textAlignment w:val="baseline"/>
      </w:pPr>
      <w:r>
        <w:rPr>
          <w:rFonts w:asciiTheme="minorHAnsi" w:hAnsi="Calibri" w:cstheme="minorBidi"/>
          <w:color w:val="000000" w:themeColor="text1"/>
          <w:sz w:val="20"/>
          <w:szCs w:val="20"/>
        </w:rPr>
        <w:t>5. směnové řízení výzkumného jaderného reaktoru,</w:t>
      </w:r>
    </w:p>
    <w:p w:rsidR="00AA1526" w:rsidRDefault="00AA1526" w:rsidP="00AA1526">
      <w:pPr>
        <w:pStyle w:val="Normlnweb"/>
        <w:spacing w:before="48" w:beforeAutospacing="0" w:after="0" w:afterAutospacing="0"/>
        <w:textAlignment w:val="baseline"/>
      </w:pPr>
      <w:r>
        <w:rPr>
          <w:rFonts w:asciiTheme="minorHAnsi" w:hAnsi="Calibri" w:cstheme="minorBidi"/>
          <w:color w:val="000000" w:themeColor="text1"/>
          <w:sz w:val="20"/>
          <w:szCs w:val="20"/>
        </w:rPr>
        <w:t xml:space="preserve"> b) v oblasti nakládání s jadernými materiály zařazenými do I. nebo II. kategorie z hlediska fyzické ochrany</w:t>
      </w:r>
    </w:p>
    <w:p w:rsidR="00AA1526" w:rsidRDefault="00AA1526" w:rsidP="00AA1526">
      <w:pPr>
        <w:pStyle w:val="Normlnweb"/>
        <w:spacing w:before="48" w:beforeAutospacing="0" w:after="0" w:afterAutospacing="0"/>
        <w:textAlignment w:val="baseline"/>
      </w:pPr>
      <w:r>
        <w:rPr>
          <w:rFonts w:asciiTheme="minorHAnsi" w:hAnsi="Calibri" w:cstheme="minorBidi"/>
          <w:color w:val="000000" w:themeColor="text1"/>
          <w:sz w:val="20"/>
          <w:szCs w:val="20"/>
        </w:rPr>
        <w:t>1. evidence a kontrola jaderných materiálů,</w:t>
      </w:r>
    </w:p>
    <w:p w:rsidR="00AA1526" w:rsidRDefault="00AA1526" w:rsidP="00AA1526">
      <w:pPr>
        <w:pStyle w:val="Normlnweb"/>
        <w:spacing w:before="48" w:beforeAutospacing="0" w:after="0" w:afterAutospacing="0"/>
        <w:textAlignment w:val="baseline"/>
      </w:pPr>
      <w:r>
        <w:rPr>
          <w:rFonts w:asciiTheme="minorHAnsi" w:hAnsi="Calibri" w:cstheme="minorBidi"/>
          <w:color w:val="000000" w:themeColor="text1"/>
          <w:sz w:val="20"/>
          <w:szCs w:val="20"/>
        </w:rPr>
        <w:t>2. řízení nebo kontrola manipulace s jadernými materiály,</w:t>
      </w:r>
    </w:p>
    <w:p w:rsidR="00AA1526" w:rsidRDefault="00AA1526" w:rsidP="00AA1526">
      <w:pPr>
        <w:pStyle w:val="Normlnweb"/>
        <w:spacing w:before="48" w:beforeAutospacing="0" w:after="0" w:afterAutospacing="0"/>
        <w:textAlignment w:val="baseline"/>
      </w:pPr>
      <w:r>
        <w:rPr>
          <w:rFonts w:asciiTheme="minorHAnsi" w:hAnsi="Calibri" w:cstheme="minorBidi"/>
          <w:color w:val="000000" w:themeColor="text1"/>
          <w:sz w:val="20"/>
          <w:szCs w:val="20"/>
        </w:rPr>
        <w:t>3. řízení nebo kontrola skladování jaderných materiálů,</w:t>
      </w:r>
    </w:p>
    <w:p w:rsidR="00AA1526" w:rsidRDefault="00AA1526" w:rsidP="00AA1526">
      <w:pPr>
        <w:pStyle w:val="Normlnweb"/>
        <w:spacing w:before="48" w:beforeAutospacing="0" w:after="0" w:afterAutospacing="0"/>
        <w:textAlignment w:val="baseline"/>
      </w:pPr>
      <w:r>
        <w:rPr>
          <w:rFonts w:asciiTheme="minorHAnsi" w:hAnsi="Calibri" w:cstheme="minorBidi"/>
          <w:color w:val="000000" w:themeColor="text1"/>
          <w:sz w:val="20"/>
          <w:szCs w:val="20"/>
        </w:rPr>
        <w:t>4. organizování přeprav jaderných materiálů,</w:t>
      </w:r>
    </w:p>
    <w:p w:rsidR="00AA1526" w:rsidRDefault="00AA1526" w:rsidP="00AA1526">
      <w:pPr>
        <w:pStyle w:val="Normlnweb"/>
        <w:spacing w:before="48" w:beforeAutospacing="0" w:after="0" w:afterAutospacing="0"/>
        <w:textAlignment w:val="baseline"/>
      </w:pPr>
      <w:r>
        <w:rPr>
          <w:rFonts w:asciiTheme="minorHAnsi" w:hAnsi="Calibri" w:cstheme="minorBidi"/>
          <w:color w:val="000000" w:themeColor="text1"/>
          <w:sz w:val="20"/>
          <w:szCs w:val="20"/>
        </w:rPr>
        <w:t>5. organizování přeprav zdrojů ionizujícího záření vyžadujících povolení Úřadu,</w:t>
      </w:r>
    </w:p>
    <w:p w:rsidR="00AA1526" w:rsidRDefault="00AA1526" w:rsidP="00AA1526">
      <w:pPr>
        <w:pStyle w:val="Normlnweb"/>
        <w:spacing w:before="48" w:beforeAutospacing="0" w:after="0" w:afterAutospacing="0"/>
        <w:textAlignment w:val="baseline"/>
      </w:pPr>
      <w:r>
        <w:rPr>
          <w:rFonts w:asciiTheme="minorHAnsi" w:hAnsi="Calibri" w:cstheme="minorBidi"/>
          <w:color w:val="000000" w:themeColor="text1"/>
          <w:sz w:val="20"/>
          <w:szCs w:val="20"/>
        </w:rPr>
        <w:t>c) v oblasti zajišťování fyzické ochrany jaderných materiálů nebo jaderných zařízení</w:t>
      </w:r>
    </w:p>
    <w:p w:rsidR="00AA1526" w:rsidRDefault="00AA1526" w:rsidP="00AA1526">
      <w:pPr>
        <w:pStyle w:val="Normlnweb"/>
        <w:spacing w:before="48" w:beforeAutospacing="0" w:after="0" w:afterAutospacing="0"/>
        <w:textAlignment w:val="baseline"/>
      </w:pPr>
      <w:r>
        <w:rPr>
          <w:rFonts w:asciiTheme="minorHAnsi" w:hAnsi="Calibri" w:cstheme="minorBidi"/>
          <w:color w:val="000000" w:themeColor="text1"/>
          <w:sz w:val="20"/>
          <w:szCs w:val="20"/>
        </w:rPr>
        <w:t>1. řízení nebo kontrola fyzické ostrahy jaderných materiálů nebo jaderných zařízení,</w:t>
      </w:r>
    </w:p>
    <w:p w:rsidR="00AA1526" w:rsidRDefault="00AA1526" w:rsidP="00AA1526">
      <w:pPr>
        <w:pStyle w:val="Normlnweb"/>
        <w:spacing w:before="48" w:beforeAutospacing="0" w:after="0" w:afterAutospacing="0"/>
        <w:textAlignment w:val="baseline"/>
      </w:pPr>
      <w:r>
        <w:rPr>
          <w:rFonts w:asciiTheme="minorHAnsi" w:hAnsi="Calibri" w:cstheme="minorBidi"/>
          <w:color w:val="000000" w:themeColor="text1"/>
          <w:sz w:val="20"/>
          <w:szCs w:val="20"/>
        </w:rPr>
        <w:t>2. řízení nebo kontrola obsluhy a zajištění provozu řídícího centra a obsluha řídícího centra technického systému fyzické ochrany,</w:t>
      </w:r>
    </w:p>
    <w:p w:rsidR="0056739E" w:rsidRDefault="00AA1526" w:rsidP="00AA1526">
      <w:pPr>
        <w:rPr>
          <w:rFonts w:hAnsi="Calibri"/>
          <w:color w:val="000000" w:themeColor="text1"/>
          <w:sz w:val="20"/>
          <w:szCs w:val="20"/>
        </w:rPr>
      </w:pPr>
      <w:r>
        <w:rPr>
          <w:rFonts w:hAnsi="Calibri"/>
          <w:color w:val="000000" w:themeColor="text1"/>
          <w:sz w:val="20"/>
          <w:szCs w:val="20"/>
        </w:rPr>
        <w:t>3. řízení nebo kontrola údržby a opravy technického systému fyzické ochrany a jeho komponent.</w:t>
      </w:r>
    </w:p>
    <w:p w:rsidR="00AA1526" w:rsidRPr="00BE6EEE" w:rsidRDefault="00AA1526" w:rsidP="00AA1526">
      <w:pPr>
        <w:pStyle w:val="Normlnweb"/>
        <w:spacing w:before="58" w:beforeAutospacing="0" w:after="0" w:afterAutospacing="0"/>
        <w:jc w:val="center"/>
        <w:textAlignment w:val="baseline"/>
        <w:rPr>
          <w:sz w:val="20"/>
        </w:rPr>
      </w:pPr>
      <w:r w:rsidRPr="00BE6EEE">
        <w:rPr>
          <w:rFonts w:asciiTheme="minorHAnsi" w:hAnsi="+mn-ea" w:cstheme="minorBidi"/>
          <w:color w:val="000000" w:themeColor="text1"/>
          <w:sz w:val="20"/>
        </w:rPr>
        <w:t>§</w:t>
      </w:r>
      <w:r w:rsidRPr="00BE6EEE">
        <w:rPr>
          <w:rFonts w:asciiTheme="minorHAnsi" w:hAnsi="+mn-ea" w:cstheme="minorBidi"/>
          <w:color w:val="000000" w:themeColor="text1"/>
          <w:sz w:val="20"/>
        </w:rPr>
        <w:t xml:space="preserve"> 162</w:t>
      </w:r>
    </w:p>
    <w:p w:rsidR="00AA1526" w:rsidRPr="00BE6EEE" w:rsidRDefault="00AA1526" w:rsidP="00AA1526">
      <w:pPr>
        <w:pStyle w:val="Normlnweb"/>
        <w:spacing w:before="58" w:beforeAutospacing="0" w:after="0" w:afterAutospacing="0"/>
        <w:jc w:val="center"/>
        <w:textAlignment w:val="baseline"/>
        <w:rPr>
          <w:sz w:val="20"/>
        </w:rPr>
      </w:pPr>
      <w:r w:rsidRPr="00BE6EEE">
        <w:rPr>
          <w:rFonts w:asciiTheme="minorHAnsi" w:hAnsi="Calibri" w:cstheme="minorBidi"/>
          <w:b/>
          <w:bCs/>
          <w:color w:val="000000" w:themeColor="text1"/>
          <w:sz w:val="20"/>
        </w:rPr>
        <w:t>Zabezpečení mimo fyzickou ochranu a citlivé činnosti</w:t>
      </w:r>
    </w:p>
    <w:p w:rsidR="00AA1526" w:rsidRPr="00BE6EEE" w:rsidRDefault="00AA1526" w:rsidP="00AA1526">
      <w:pPr>
        <w:pStyle w:val="Normlnweb"/>
        <w:spacing w:before="58" w:beforeAutospacing="0" w:after="0" w:afterAutospacing="0"/>
        <w:textAlignment w:val="baseline"/>
        <w:rPr>
          <w:sz w:val="20"/>
        </w:rPr>
      </w:pPr>
      <w:r w:rsidRPr="00BE6EEE">
        <w:rPr>
          <w:rFonts w:asciiTheme="minorHAnsi" w:hAnsi="Calibri" w:cstheme="minorBidi"/>
          <w:color w:val="000000" w:themeColor="text1"/>
          <w:sz w:val="20"/>
        </w:rPr>
        <w:t>(2) Za citlivou činnost ve smyslu zákona o ochraně utajovaných informací se považuje</w:t>
      </w:r>
    </w:p>
    <w:p w:rsidR="00AA1526" w:rsidRPr="00BE6EEE" w:rsidRDefault="00AA1526" w:rsidP="00AA1526">
      <w:pPr>
        <w:pStyle w:val="Normlnweb"/>
        <w:spacing w:before="58" w:beforeAutospacing="0" w:after="0" w:afterAutospacing="0"/>
        <w:textAlignment w:val="baseline"/>
        <w:rPr>
          <w:sz w:val="20"/>
        </w:rPr>
      </w:pPr>
      <w:r w:rsidRPr="00BE6EEE">
        <w:rPr>
          <w:rFonts w:asciiTheme="minorHAnsi" w:hAnsi="Calibri" w:cstheme="minorBidi"/>
          <w:color w:val="000000" w:themeColor="text1"/>
          <w:sz w:val="20"/>
        </w:rPr>
        <w:t>a) výkon funkce člena statutárního orgánu právnické osoby, která je držitelem povolení dle § 9 odst. 1 a která vykonává činnosti, při nichž musí být vymezen životně důležitý prostor nebo vnitřní prostor,</w:t>
      </w:r>
    </w:p>
    <w:p w:rsidR="00AA1526" w:rsidRPr="00BE6EEE" w:rsidRDefault="00AA1526" w:rsidP="00AA1526">
      <w:pPr>
        <w:pStyle w:val="Normlnweb"/>
        <w:spacing w:before="58" w:beforeAutospacing="0" w:after="0" w:afterAutospacing="0"/>
        <w:textAlignment w:val="baseline"/>
        <w:rPr>
          <w:sz w:val="20"/>
        </w:rPr>
      </w:pPr>
      <w:r w:rsidRPr="00BE6EEE">
        <w:rPr>
          <w:rFonts w:asciiTheme="minorHAnsi" w:hAnsi="Calibri" w:cstheme="minorBidi"/>
          <w:color w:val="000000" w:themeColor="text1"/>
          <w:sz w:val="20"/>
        </w:rPr>
        <w:t>b) organizace a řízení provozu jaderného zařízení,</w:t>
      </w:r>
    </w:p>
    <w:p w:rsidR="00AA1526" w:rsidRPr="00BE6EEE" w:rsidRDefault="00AA1526" w:rsidP="00AA1526">
      <w:pPr>
        <w:pStyle w:val="Normlnweb"/>
        <w:spacing w:before="58" w:beforeAutospacing="0" w:after="0" w:afterAutospacing="0"/>
        <w:textAlignment w:val="baseline"/>
        <w:rPr>
          <w:sz w:val="20"/>
        </w:rPr>
      </w:pPr>
      <w:r w:rsidRPr="00BE6EEE">
        <w:rPr>
          <w:rFonts w:asciiTheme="minorHAnsi" w:hAnsi="Calibri" w:cstheme="minorBidi"/>
          <w:color w:val="000000" w:themeColor="text1"/>
          <w:sz w:val="20"/>
        </w:rPr>
        <w:t>c) přímé řízení provozu jaderného reaktoru,</w:t>
      </w:r>
    </w:p>
    <w:p w:rsidR="00AA1526" w:rsidRPr="00BE6EEE" w:rsidRDefault="00AA1526" w:rsidP="00AA1526">
      <w:pPr>
        <w:pStyle w:val="Normlnweb"/>
        <w:spacing w:before="58" w:beforeAutospacing="0" w:after="0" w:afterAutospacing="0"/>
        <w:textAlignment w:val="baseline"/>
        <w:rPr>
          <w:sz w:val="20"/>
        </w:rPr>
      </w:pPr>
      <w:r w:rsidRPr="00BE6EEE">
        <w:rPr>
          <w:rFonts w:asciiTheme="minorHAnsi" w:hAnsi="Calibri" w:cstheme="minorBidi"/>
          <w:color w:val="000000" w:themeColor="text1"/>
          <w:sz w:val="20"/>
        </w:rPr>
        <w:t>d) řízení odezvy na radiační mimořádnou událost podle vnitřního havarijního plánu nebo havarijního řádu,</w:t>
      </w:r>
    </w:p>
    <w:p w:rsidR="00AA1526" w:rsidRPr="00BE6EEE" w:rsidRDefault="00AA1526" w:rsidP="00AA1526">
      <w:pPr>
        <w:pStyle w:val="Normlnweb"/>
        <w:spacing w:before="58" w:beforeAutospacing="0" w:after="0" w:afterAutospacing="0"/>
        <w:textAlignment w:val="baseline"/>
        <w:rPr>
          <w:sz w:val="20"/>
        </w:rPr>
      </w:pPr>
      <w:r w:rsidRPr="00BE6EEE">
        <w:rPr>
          <w:rFonts w:asciiTheme="minorHAnsi" w:hAnsi="Calibri" w:cstheme="minorBidi"/>
          <w:color w:val="000000" w:themeColor="text1"/>
          <w:sz w:val="20"/>
        </w:rPr>
        <w:t>e) vstup bez doprovodu do životně důležitého prostoru,</w:t>
      </w:r>
    </w:p>
    <w:p w:rsidR="00AA1526" w:rsidRPr="00BE6EEE" w:rsidRDefault="00AA1526" w:rsidP="00AA1526">
      <w:pPr>
        <w:pStyle w:val="Normlnweb"/>
        <w:spacing w:before="58" w:beforeAutospacing="0" w:after="0" w:afterAutospacing="0"/>
        <w:textAlignment w:val="baseline"/>
        <w:rPr>
          <w:sz w:val="20"/>
        </w:rPr>
      </w:pPr>
      <w:r w:rsidRPr="00BE6EEE">
        <w:rPr>
          <w:rFonts w:asciiTheme="minorHAnsi" w:hAnsi="Calibri" w:cstheme="minorBidi"/>
          <w:color w:val="000000" w:themeColor="text1"/>
          <w:sz w:val="20"/>
        </w:rPr>
        <w:t>f) vstup bez doprovodu do prostor, kde se nachází jaderný materiál I. a II. kategorie, a nakládání s ním.</w:t>
      </w:r>
    </w:p>
    <w:p w:rsidR="00AA1526" w:rsidRDefault="00AA1526" w:rsidP="00AA1526">
      <w:pPr>
        <w:rPr>
          <w:rFonts w:hAnsi="Calibri"/>
          <w:color w:val="000000" w:themeColor="text1"/>
          <w:sz w:val="20"/>
          <w:szCs w:val="20"/>
        </w:rPr>
      </w:pPr>
    </w:p>
    <w:p w:rsidR="00AA1526" w:rsidRDefault="00AA1526" w:rsidP="00AA1526">
      <w:pPr>
        <w:rPr>
          <w:rFonts w:hAnsi="Calibri"/>
          <w:color w:val="000000" w:themeColor="text1"/>
          <w:sz w:val="20"/>
          <w:szCs w:val="20"/>
        </w:rPr>
      </w:pPr>
    </w:p>
    <w:p w:rsidR="00AA1526" w:rsidRDefault="00AA1526" w:rsidP="00AA1526">
      <w:pPr>
        <w:rPr>
          <w:rFonts w:hAnsi="Calibri"/>
          <w:color w:val="000000" w:themeColor="text1"/>
          <w:sz w:val="20"/>
          <w:szCs w:val="20"/>
        </w:rPr>
      </w:pPr>
    </w:p>
    <w:p w:rsidR="00AA1526" w:rsidRDefault="00AA1526" w:rsidP="00AA1526">
      <w:pPr>
        <w:rPr>
          <w:rFonts w:hAnsi="Calibri"/>
          <w:color w:val="000000" w:themeColor="text1"/>
          <w:sz w:val="20"/>
          <w:szCs w:val="20"/>
        </w:rPr>
      </w:pPr>
    </w:p>
    <w:p w:rsidR="00AA1526" w:rsidRDefault="00AA1526" w:rsidP="00AA1526">
      <w:pPr>
        <w:rPr>
          <w:rFonts w:hAnsi="Calibri"/>
          <w:color w:val="000000" w:themeColor="text1"/>
          <w:sz w:val="20"/>
          <w:szCs w:val="20"/>
        </w:rPr>
      </w:pPr>
    </w:p>
    <w:p w:rsidR="0056739E" w:rsidRDefault="0056739E" w:rsidP="008C533B"/>
    <w:p w:rsidR="0056739E" w:rsidRDefault="0056739E" w:rsidP="008C533B"/>
    <w:p w:rsidR="00AA1526" w:rsidRDefault="00AA1526" w:rsidP="008C533B">
      <w:pPr>
        <w:sectPr w:rsidR="00AA1526" w:rsidSect="00AA152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6739E" w:rsidRDefault="0056739E" w:rsidP="008C533B"/>
    <w:p w:rsidR="0056739E" w:rsidRDefault="0056739E" w:rsidP="008C533B"/>
    <w:p w:rsidR="0056739E" w:rsidRDefault="0056739E" w:rsidP="008C533B"/>
    <w:p w:rsidR="0056739E" w:rsidRDefault="0056739E" w:rsidP="008C533B"/>
    <w:p w:rsidR="00BC3BFA" w:rsidRDefault="008C533B" w:rsidP="00CE1957">
      <w:pPr>
        <w:jc w:val="both"/>
      </w:pPr>
      <w:r>
        <w:t xml:space="preserve">Tento výčet ve výsledku znamená, že o </w:t>
      </w:r>
      <w:r w:rsidR="0056739E" w:rsidRPr="0056739E">
        <w:t>doklad o bezpečnostní způsobilosti fyzické osoby</w:t>
      </w:r>
      <w:r w:rsidR="0056739E">
        <w:t xml:space="preserve"> dle § 80 a následujících zákona č. 412/2005 Sb., o </w:t>
      </w:r>
      <w:r w:rsidR="0056739E" w:rsidRPr="0056739E">
        <w:t>ochraně utajovaných informací a o bezpečnostní způsobilosti</w:t>
      </w:r>
      <w:r w:rsidR="000202E3">
        <w:t xml:space="preserve">, bude muset nově </w:t>
      </w:r>
      <w:r w:rsidR="001B4C90">
        <w:t xml:space="preserve">po 1. 1. 2017, kdy nový atomový zákon nabývá účinnosti, </w:t>
      </w:r>
      <w:r w:rsidR="000202E3">
        <w:t xml:space="preserve">zažádat hned celá řada osob. Na tuto situaci </w:t>
      </w:r>
      <w:r w:rsidR="00BC3BFA">
        <w:t xml:space="preserve">však </w:t>
      </w:r>
      <w:r w:rsidR="000202E3">
        <w:t>pamatuje § 233 odst. 4 nového atomového zákona, který ve zkratce říká, že do 3 let od nabytí účinnosti zákona (tedy až do 31. 12. 2019</w:t>
      </w:r>
      <w:r w:rsidR="001B4C90">
        <w:t>)</w:t>
      </w:r>
      <w:r w:rsidR="000202E3">
        <w:t xml:space="preserve"> lze vykonávat citlivou činnost</w:t>
      </w:r>
      <w:r w:rsidR="00BC3BFA">
        <w:t xml:space="preserve"> dle atomového zákona</w:t>
      </w:r>
      <w:r w:rsidR="000202E3">
        <w:t xml:space="preserve">, i když </w:t>
      </w:r>
      <w:r w:rsidR="00BE6EEE">
        <w:t>fyzická osoba nesplňuje podmínky pro výkon citlivé činnosti, tedy není například držitelem dokladu o bezpečnostní způsobilosti. Zákon</w:t>
      </w:r>
      <w:r w:rsidR="00BC3BFA">
        <w:t xml:space="preserve"> v § 233 odst. 4</w:t>
      </w:r>
      <w:r w:rsidR="00BE6EEE">
        <w:t xml:space="preserve"> dále stanoví některé výjimky</w:t>
      </w:r>
      <w:r w:rsidR="00BC3BFA">
        <w:t xml:space="preserve"> (</w:t>
      </w:r>
      <w:r w:rsidR="00BE6EEE">
        <w:t xml:space="preserve">kdy </w:t>
      </w:r>
      <w:r w:rsidR="001B4C90">
        <w:t>i přes toto rozvolnění</w:t>
      </w:r>
      <w:r w:rsidR="00BC3BFA">
        <w:t>)</w:t>
      </w:r>
      <w:r w:rsidR="001B4C90">
        <w:t xml:space="preserve"> fyzické</w:t>
      </w:r>
      <w:r w:rsidR="00BE6EEE">
        <w:t xml:space="preserve"> osoby nebudou moci vykonávat citlivé činnosti - </w:t>
      </w:r>
      <w:r w:rsidR="000202E3">
        <w:t xml:space="preserve"> </w:t>
      </w:r>
      <w:r w:rsidR="00BE6EEE">
        <w:t xml:space="preserve">například </w:t>
      </w:r>
      <w:r w:rsidR="00BC3BFA">
        <w:t xml:space="preserve">pokud </w:t>
      </w:r>
      <w:r w:rsidR="00BE6EEE" w:rsidRPr="00BE6EEE">
        <w:t>v době posledních 5 let přede dnem nabytí účinnosti tohoto zákona bylo v řízení k této osobě vydáno rozhodnutí o nevydání dokladu o bezpečnostní způsobilosti fyzické osoby</w:t>
      </w:r>
      <w:r w:rsidR="00BE6EEE">
        <w:t xml:space="preserve">. </w:t>
      </w:r>
    </w:p>
    <w:p w:rsidR="001B4C90" w:rsidRDefault="00CE1957" w:rsidP="00CE1957">
      <w:pPr>
        <w:jc w:val="both"/>
      </w:pPr>
      <w:r>
        <w:t>Příslušní držitelé povolení tedy budou povinni od 1. 1. 20</w:t>
      </w:r>
      <w:r w:rsidR="007E14D9">
        <w:t>20</w:t>
      </w:r>
      <w:r>
        <w:t xml:space="preserve"> vyžadovat od fyzických osob doklad o bezpečnostní způsobilosti k výkonu citlivých činností vydávaný Národním bezpečnostním úřadem (NBÚ). Doklad NBÚ vydá fyzické osobě, která je plně svéprávná, dosáhla alespoň 18 let věku, je bezúhonná, je osobnostně způsobilá a je spolehlivá (když spolehlivost osoby definuje § 84 zákona č. 412/2005).</w:t>
      </w:r>
      <w:r w:rsidR="003773E5">
        <w:t xml:space="preserve"> </w:t>
      </w:r>
      <w:r w:rsidR="001B4C90">
        <w:t>Rovněž je nutné konstatovat, že p</w:t>
      </w:r>
      <w:r w:rsidR="001B4C90" w:rsidRPr="001B4C90">
        <w:t xml:space="preserve">ro výkon výše uvedených citlivých činností </w:t>
      </w:r>
      <w:r w:rsidR="001B4C90">
        <w:t xml:space="preserve">je </w:t>
      </w:r>
      <w:r w:rsidR="00BC3BFA">
        <w:t xml:space="preserve">zástupně </w:t>
      </w:r>
      <w:r w:rsidR="001B4C90">
        <w:t>možné, aby</w:t>
      </w:r>
      <w:r w:rsidR="001B4C90" w:rsidRPr="001B4C90">
        <w:t xml:space="preserve"> dotčené fyzické osoby byly držiteli osvědčení fyzické osoby pro přístup k utajovaným informacím stupně Důvěrné a vyšší, neboť osoba, které je držitelem takového osvědčení, se považuje za oprávněnou k výkonu citlivé činnosti, viz § 80</w:t>
      </w:r>
      <w:r w:rsidR="001B4C90">
        <w:t xml:space="preserve"> odst. 2 zákona č. 412/2005 Sb.</w:t>
      </w:r>
    </w:p>
    <w:p w:rsidR="00694C2E" w:rsidRDefault="003773E5" w:rsidP="00CE1957">
      <w:pPr>
        <w:jc w:val="both"/>
      </w:pPr>
      <w:r>
        <w:t xml:space="preserve">Ač by měl NBÚ rozhodnout o vydání dokladu </w:t>
      </w:r>
      <w:r w:rsidRPr="003773E5">
        <w:t xml:space="preserve">ve lhůtě 75 dnů ode dne </w:t>
      </w:r>
      <w:r>
        <w:t xml:space="preserve">zahájení řízení, tak doporučujeme, aby bylo ze strany fyzických osob, které vykonávají citlivé činnosti dle atomového zákona, zažádáno </w:t>
      </w:r>
      <w:r w:rsidR="00BC3BFA">
        <w:t xml:space="preserve">o vydání dokladu </w:t>
      </w:r>
      <w:r>
        <w:t xml:space="preserve">co nejdříve po nabytí jeho účinnosti, protože se dá předpokládat, že o doklad zažádá velké množství lidí a hrozí </w:t>
      </w:r>
      <w:r w:rsidR="00BC3BFA">
        <w:t xml:space="preserve">tedy </w:t>
      </w:r>
      <w:r>
        <w:t>velký nápad žádostí před uplynutím přechodného období ke konci roku 2019.</w:t>
      </w:r>
    </w:p>
    <w:sectPr w:rsidR="00694C2E" w:rsidSect="00AA15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3B"/>
    <w:rsid w:val="000202E3"/>
    <w:rsid w:val="001B4C90"/>
    <w:rsid w:val="003773E5"/>
    <w:rsid w:val="00415DF0"/>
    <w:rsid w:val="0056739E"/>
    <w:rsid w:val="0061465C"/>
    <w:rsid w:val="00694C2E"/>
    <w:rsid w:val="007E14D9"/>
    <w:rsid w:val="008C533B"/>
    <w:rsid w:val="008E1880"/>
    <w:rsid w:val="00AA1526"/>
    <w:rsid w:val="00BC3BFA"/>
    <w:rsid w:val="00BE6EEE"/>
    <w:rsid w:val="00C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73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73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Klobouček</dc:creator>
  <cp:lastModifiedBy>Štěpán Kochánek</cp:lastModifiedBy>
  <cp:revision>2</cp:revision>
  <dcterms:created xsi:type="dcterms:W3CDTF">2017-01-04T08:49:00Z</dcterms:created>
  <dcterms:modified xsi:type="dcterms:W3CDTF">2017-01-04T08:49:00Z</dcterms:modified>
</cp:coreProperties>
</file>