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1C97E" w14:textId="77777777" w:rsidR="00BA0AA7" w:rsidRDefault="00BA0AA7" w:rsidP="00BA0AA7">
      <w:pPr>
        <w:rPr>
          <w:sz w:val="21"/>
        </w:rPr>
      </w:pPr>
    </w:p>
    <w:tbl>
      <w:tblPr>
        <w:tblW w:w="0" w:type="auto"/>
        <w:tblInd w:w="-7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57" w:type="dxa"/>
          <w:right w:w="70" w:type="dxa"/>
        </w:tblCellMar>
        <w:tblLook w:val="04A0" w:firstRow="1" w:lastRow="0" w:firstColumn="1" w:lastColumn="0" w:noHBand="0" w:noVBand="1"/>
      </w:tblPr>
      <w:tblGrid>
        <w:gridCol w:w="2921"/>
        <w:gridCol w:w="4232"/>
        <w:gridCol w:w="2572"/>
      </w:tblGrid>
      <w:tr w:rsidR="00BA0AA7" w14:paraId="63CDA725" w14:textId="77777777" w:rsidTr="007422BF">
        <w:trPr>
          <w:cantSplit/>
          <w:trHeight w:hRule="exact" w:val="454"/>
        </w:trPr>
        <w:tc>
          <w:tcPr>
            <w:tcW w:w="2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748BA93B" w14:textId="6E2A26AB" w:rsidR="00BA0AA7" w:rsidRPr="00665365" w:rsidRDefault="00BA0AA7" w:rsidP="00C676EE">
            <w:pPr>
              <w:pStyle w:val="Zhlav1"/>
              <w:ind w:right="520"/>
              <w:rPr>
                <w:sz w:val="20"/>
              </w:rPr>
            </w:pPr>
            <w:r w:rsidRPr="00665365">
              <w:rPr>
                <w:sz w:val="20"/>
              </w:rPr>
              <w:t>č.j. SÚJB/</w:t>
            </w:r>
            <w:r w:rsidR="00C676EE">
              <w:rPr>
                <w:sz w:val="20"/>
              </w:rPr>
              <w:t>OS</w:t>
            </w:r>
            <w:r w:rsidRPr="00665365">
              <w:rPr>
                <w:sz w:val="20"/>
              </w:rPr>
              <w:t>/</w:t>
            </w:r>
            <w:r w:rsidR="00C676EE">
              <w:rPr>
                <w:sz w:val="20"/>
              </w:rPr>
              <w:t>15412/2015</w:t>
            </w:r>
          </w:p>
        </w:tc>
        <w:tc>
          <w:tcPr>
            <w:tcW w:w="42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2CE8410F" w14:textId="142503BF" w:rsidR="00BA0AA7" w:rsidRPr="00665365" w:rsidRDefault="00BA0AA7" w:rsidP="00C676EE">
            <w:pPr>
              <w:pStyle w:val="Zhlav1"/>
              <w:jc w:val="center"/>
            </w:pPr>
            <w:r w:rsidRPr="00665365">
              <w:rPr>
                <w:b/>
                <w:caps/>
                <w:sz w:val="28"/>
                <w:szCs w:val="28"/>
              </w:rPr>
              <w:t>A-</w:t>
            </w:r>
            <w:r w:rsidRPr="00665365">
              <w:rPr>
                <w:b/>
                <w:caps/>
                <w:color w:val="C0504D" w:themeColor="accent2"/>
                <w:sz w:val="28"/>
                <w:szCs w:val="28"/>
              </w:rPr>
              <w:t>VDK0</w:t>
            </w:r>
            <w:r w:rsidR="00C676EE">
              <w:rPr>
                <w:b/>
                <w:caps/>
                <w:color w:val="C0504D" w:themeColor="accent2"/>
                <w:sz w:val="28"/>
                <w:szCs w:val="28"/>
              </w:rPr>
              <w:t>99</w:t>
            </w:r>
            <w:r w:rsidRPr="00665365">
              <w:rPr>
                <w:b/>
                <w:caps/>
                <w:sz w:val="28"/>
                <w:szCs w:val="28"/>
              </w:rPr>
              <w:t>_SRD_</w:t>
            </w:r>
            <w:r w:rsidRPr="00B01766">
              <w:rPr>
                <w:rFonts w:cs="Times New Roman"/>
                <w:b/>
                <w:caps/>
                <w:sz w:val="28"/>
                <w:szCs w:val="28"/>
              </w:rPr>
              <w:t>1</w:t>
            </w:r>
            <w:r w:rsidRPr="00B01766">
              <w:rPr>
                <w:b/>
                <w:caps/>
                <w:sz w:val="28"/>
                <w:szCs w:val="28"/>
              </w:rPr>
              <w:t>.</w:t>
            </w:r>
            <w:r w:rsidRPr="00665365">
              <w:rPr>
                <w:b/>
                <w:caps/>
                <w:sz w:val="28"/>
                <w:szCs w:val="28"/>
              </w:rPr>
              <w:t>00</w:t>
            </w:r>
          </w:p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6514A368" w14:textId="77777777" w:rsidR="00BA0AA7" w:rsidRPr="00665365" w:rsidRDefault="00BA0AA7" w:rsidP="007422BF">
            <w:pPr>
              <w:pStyle w:val="Zhlav1"/>
            </w:pPr>
            <w:r>
              <w:rPr>
                <w:sz w:val="20"/>
              </w:rPr>
              <w:t xml:space="preserve">revize </w:t>
            </w:r>
            <w:r w:rsidRPr="00B01766">
              <w:rPr>
                <w:sz w:val="20"/>
              </w:rPr>
              <w:t>č. 1.00</w:t>
            </w:r>
          </w:p>
        </w:tc>
      </w:tr>
      <w:tr w:rsidR="00BA0AA7" w14:paraId="1309332B" w14:textId="77777777" w:rsidTr="007422BF">
        <w:trPr>
          <w:cantSplit/>
          <w:trHeight w:hRule="exact" w:val="454"/>
        </w:trPr>
        <w:tc>
          <w:tcPr>
            <w:tcW w:w="2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63921287" w14:textId="77777777" w:rsidR="00BA0AA7" w:rsidRPr="00665365" w:rsidRDefault="00BA0AA7" w:rsidP="007422BF">
            <w:pPr>
              <w:pStyle w:val="Zhlav1"/>
              <w:ind w:right="520"/>
            </w:pPr>
            <w:r w:rsidRPr="00665365">
              <w:rPr>
                <w:sz w:val="20"/>
              </w:rPr>
              <w:t>A úroveň</w:t>
            </w:r>
          </w:p>
        </w:tc>
        <w:tc>
          <w:tcPr>
            <w:tcW w:w="42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75DDA7F2" w14:textId="77777777" w:rsidR="00BA0AA7" w:rsidRPr="00665365" w:rsidRDefault="00BA0AA7" w:rsidP="007422BF"/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5380E620" w14:textId="621A63AF" w:rsidR="00BA0AA7" w:rsidRPr="00656E00" w:rsidRDefault="00BA0AA7" w:rsidP="007422BF">
            <w:pPr>
              <w:pStyle w:val="Zhlav1"/>
              <w:rPr>
                <w:rFonts w:ascii="Times New Roman" w:hAnsi="Times New Roman" w:cs="Times New Roman"/>
              </w:rPr>
            </w:pPr>
            <w:r w:rsidRPr="00665365">
              <w:rPr>
                <w:sz w:val="20"/>
              </w:rPr>
              <w:t>účinnost od</w:t>
            </w:r>
            <w:r w:rsidR="00C676EE">
              <w:rPr>
                <w:sz w:val="20"/>
              </w:rPr>
              <w:t xml:space="preserve"> 1.9.2015</w:t>
            </w:r>
          </w:p>
        </w:tc>
      </w:tr>
      <w:tr w:rsidR="00BA0AA7" w14:paraId="1668D661" w14:textId="77777777" w:rsidTr="007422BF">
        <w:trPr>
          <w:cantSplit/>
          <w:trHeight w:hRule="exact" w:val="454"/>
        </w:trPr>
        <w:tc>
          <w:tcPr>
            <w:tcW w:w="2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62FCAE6B" w14:textId="77777777" w:rsidR="00BA0AA7" w:rsidRPr="00665365" w:rsidRDefault="00BA0AA7" w:rsidP="007422BF">
            <w:pPr>
              <w:pStyle w:val="Zhlav1"/>
              <w:spacing w:line="200" w:lineRule="exact"/>
              <w:ind w:right="522"/>
              <w:jc w:val="left"/>
              <w:rPr>
                <w:sz w:val="20"/>
              </w:rPr>
            </w:pPr>
            <w:r w:rsidRPr="00665365">
              <w:rPr>
                <w:sz w:val="20"/>
              </w:rPr>
              <w:t>Správa systému řízení a dokumentace</w:t>
            </w:r>
          </w:p>
        </w:tc>
        <w:tc>
          <w:tcPr>
            <w:tcW w:w="423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12BC28BF" w14:textId="77777777" w:rsidR="00BA0AA7" w:rsidRPr="00665365" w:rsidRDefault="00BA0AA7" w:rsidP="007422BF"/>
        </w:tc>
        <w:tc>
          <w:tcPr>
            <w:tcW w:w="25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57" w:type="dxa"/>
            </w:tcMar>
            <w:vAlign w:val="center"/>
          </w:tcPr>
          <w:p w14:paraId="5773F41D" w14:textId="77777777" w:rsidR="00BA0AA7" w:rsidRPr="00B01766" w:rsidRDefault="00BA0AA7" w:rsidP="007422BF">
            <w:pPr>
              <w:pStyle w:val="Zhlav1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EF4F28C" w14:textId="77777777" w:rsidR="00BA0AA7" w:rsidRDefault="00BA0AA7" w:rsidP="00BA0AA7">
      <w:pPr>
        <w:rPr>
          <w:rFonts w:ascii="Times New Roman" w:hAnsi="Times New Roman" w:cs="Times New Roman"/>
        </w:rPr>
      </w:pPr>
    </w:p>
    <w:p w14:paraId="08464471" w14:textId="77777777" w:rsidR="00BA0AA7" w:rsidRDefault="00BA0AA7" w:rsidP="00BA0AA7">
      <w:pPr>
        <w:rPr>
          <w:rFonts w:ascii="Times New Roman" w:hAnsi="Times New Roman" w:cs="Times New Roman"/>
        </w:rPr>
      </w:pPr>
    </w:p>
    <w:p w14:paraId="0ABC58DA" w14:textId="78ADEB0E" w:rsidR="00BA0AA7" w:rsidRDefault="00BA0AA7" w:rsidP="00BA0AA7">
      <w:pPr>
        <w:rPr>
          <w:rFonts w:ascii="Times New Roman" w:hAnsi="Times New Roman" w:cs="Times New Roman"/>
        </w:rPr>
      </w:pPr>
      <w:r>
        <w:rPr>
          <w:rFonts w:cs="Times New Roman"/>
          <w:b/>
          <w:bCs/>
          <w:color w:val="001B4B"/>
          <w:sz w:val="40"/>
          <w:szCs w:val="40"/>
        </w:rPr>
        <w:t xml:space="preserve">POLITIKA </w:t>
      </w:r>
      <w:r>
        <w:rPr>
          <w:rFonts w:cs="Times New Roman"/>
          <w:b/>
          <w:bCs/>
          <w:caps/>
          <w:color w:val="001B4B"/>
          <w:sz w:val="40"/>
          <w:szCs w:val="40"/>
        </w:rPr>
        <w:t>integrovaného systému řízení</w:t>
      </w:r>
    </w:p>
    <w:p w14:paraId="5BD5FA7B" w14:textId="77777777" w:rsidR="00BA0AA7" w:rsidRDefault="00BA0AA7" w:rsidP="00BA0AA7">
      <w:pPr>
        <w:rPr>
          <w:rFonts w:ascii="Times New Roman" w:hAnsi="Times New Roman" w:cs="Times New Roman"/>
        </w:rPr>
      </w:pPr>
    </w:p>
    <w:p w14:paraId="3AF71A86" w14:textId="77777777" w:rsidR="00BA0AA7" w:rsidRPr="00B0182E" w:rsidRDefault="00BA0AA7" w:rsidP="00BA0AA7">
      <w:pPr>
        <w:rPr>
          <w:rFonts w:ascii="Times New Roman" w:hAnsi="Times New Roman" w:cs="Times New Roman"/>
        </w:rPr>
      </w:pPr>
    </w:p>
    <w:tbl>
      <w:tblPr>
        <w:tblW w:w="0" w:type="auto"/>
        <w:tblInd w:w="-737" w:type="dxa"/>
        <w:tblBorders>
          <w:top w:val="single" w:sz="18" w:space="0" w:color="000001"/>
          <w:left w:val="single" w:sz="18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22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3260"/>
        <w:gridCol w:w="3544"/>
      </w:tblGrid>
      <w:tr w:rsidR="00BA0AA7" w14:paraId="2F18EBE2" w14:textId="77777777" w:rsidTr="007422BF">
        <w:trPr>
          <w:trHeight w:hRule="exact" w:val="454"/>
        </w:trPr>
        <w:tc>
          <w:tcPr>
            <w:tcW w:w="2887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609BE40" w14:textId="77777777" w:rsidR="00BA0AA7" w:rsidRDefault="00BA0AA7" w:rsidP="007422BF">
            <w:pPr>
              <w:ind w:left="57"/>
            </w:pPr>
            <w:r>
              <w:t>Garant:</w:t>
            </w:r>
          </w:p>
        </w:tc>
        <w:tc>
          <w:tcPr>
            <w:tcW w:w="3260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5ED46B79" w14:textId="77777777" w:rsidR="00BA0AA7" w:rsidRDefault="00BA0AA7" w:rsidP="007422BF">
            <w:pPr>
              <w:ind w:left="57"/>
            </w:pPr>
            <w:r>
              <w:t>Mgr. Miroslava Leflerová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162BF313" w14:textId="77777777" w:rsidR="00BA0AA7" w:rsidRDefault="00BA0AA7" w:rsidP="007422BF"/>
        </w:tc>
      </w:tr>
      <w:tr w:rsidR="00BA0AA7" w14:paraId="3CB8018D" w14:textId="77777777" w:rsidTr="007422BF">
        <w:trPr>
          <w:trHeight w:hRule="exact" w:val="454"/>
        </w:trPr>
        <w:tc>
          <w:tcPr>
            <w:tcW w:w="288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6A1DF79E" w14:textId="77777777" w:rsidR="00BA0AA7" w:rsidRDefault="00BA0AA7" w:rsidP="007422BF">
            <w:pPr>
              <w:ind w:left="57"/>
            </w:pPr>
            <w:r>
              <w:t>Zadavatel: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1AB16349" w14:textId="77777777" w:rsidR="00BA0AA7" w:rsidRDefault="00BA0AA7" w:rsidP="007422BF">
            <w:pPr>
              <w:ind w:left="57"/>
            </w:pPr>
            <w:r>
              <w:t>Ing. Petr Krs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223A96CD" w14:textId="77777777" w:rsidR="00BA0AA7" w:rsidRDefault="00BA0AA7" w:rsidP="007422BF"/>
        </w:tc>
      </w:tr>
      <w:tr w:rsidR="00BA0AA7" w14:paraId="59641451" w14:textId="77777777" w:rsidTr="007422BF">
        <w:trPr>
          <w:trHeight w:hRule="exact" w:val="454"/>
        </w:trPr>
        <w:tc>
          <w:tcPr>
            <w:tcW w:w="2887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A205835" w14:textId="77777777" w:rsidR="00BA0AA7" w:rsidRDefault="00BA0AA7" w:rsidP="007422BF">
            <w:pPr>
              <w:ind w:left="57"/>
            </w:pPr>
            <w:r>
              <w:t>Schvalovatel: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45E4EF3A" w14:textId="77777777" w:rsidR="00BA0AA7" w:rsidRDefault="00BA0AA7" w:rsidP="007422BF">
            <w:pPr>
              <w:ind w:left="57"/>
            </w:pPr>
            <w:r>
              <w:t>Ing. Dana Drábová, Ph.D.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7ABA5537" w14:textId="77777777" w:rsidR="00BA0AA7" w:rsidRDefault="00BA0AA7" w:rsidP="007422BF"/>
        </w:tc>
      </w:tr>
    </w:tbl>
    <w:p w14:paraId="6F6C52A5" w14:textId="77777777" w:rsidR="00BA0AA7" w:rsidRDefault="00BA0AA7" w:rsidP="00BA0AA7"/>
    <w:tbl>
      <w:tblPr>
        <w:tblW w:w="0" w:type="auto"/>
        <w:tblInd w:w="-737" w:type="dxa"/>
        <w:tblBorders>
          <w:top w:val="single" w:sz="18" w:space="0" w:color="000001"/>
          <w:left w:val="single" w:sz="18" w:space="0" w:color="000001"/>
          <w:bottom w:val="single" w:sz="6" w:space="0" w:color="000001"/>
          <w:insideH w:val="single" w:sz="6" w:space="0" w:color="000001"/>
        </w:tblBorders>
        <w:tblLayout w:type="fixed"/>
        <w:tblCellMar>
          <w:left w:w="-22" w:type="dxa"/>
          <w:right w:w="70" w:type="dxa"/>
        </w:tblCellMar>
        <w:tblLook w:val="04A0" w:firstRow="1" w:lastRow="0" w:firstColumn="1" w:lastColumn="0" w:noHBand="0" w:noVBand="1"/>
      </w:tblPr>
      <w:tblGrid>
        <w:gridCol w:w="2887"/>
        <w:gridCol w:w="3260"/>
        <w:gridCol w:w="3544"/>
      </w:tblGrid>
      <w:tr w:rsidR="00BA0AA7" w14:paraId="2EC7F49A" w14:textId="77777777" w:rsidTr="00C676EE">
        <w:trPr>
          <w:trHeight w:hRule="exact" w:val="659"/>
        </w:trPr>
        <w:tc>
          <w:tcPr>
            <w:tcW w:w="2887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29AB8160" w14:textId="590CCA31" w:rsidR="00BA0AA7" w:rsidRDefault="00C676EE" w:rsidP="00C676EE">
            <w:pPr>
              <w:jc w:val="left"/>
            </w:pPr>
            <w:r>
              <w:t>Ředitel sekce pro řízení a technickou podporu</w:t>
            </w:r>
          </w:p>
        </w:tc>
        <w:tc>
          <w:tcPr>
            <w:tcW w:w="3260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338EF60D" w14:textId="77777777" w:rsidR="00BA0AA7" w:rsidRDefault="00BA0AA7" w:rsidP="007422BF">
            <w:pPr>
              <w:ind w:left="57"/>
            </w:pPr>
            <w:r>
              <w:t>Ing. Petr Krs</w:t>
            </w:r>
          </w:p>
        </w:tc>
        <w:tc>
          <w:tcPr>
            <w:tcW w:w="3544" w:type="dxa"/>
            <w:tcBorders>
              <w:top w:val="single" w:sz="18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0E8210B7" w14:textId="77777777" w:rsidR="00BA0AA7" w:rsidRDefault="00BA0AA7" w:rsidP="007422BF"/>
        </w:tc>
      </w:tr>
      <w:tr w:rsidR="00BA0AA7" w14:paraId="4F2EF198" w14:textId="77777777" w:rsidTr="00C676EE">
        <w:trPr>
          <w:trHeight w:hRule="exact" w:val="681"/>
        </w:trPr>
        <w:tc>
          <w:tcPr>
            <w:tcW w:w="288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47FF93A8" w14:textId="2445F9B6" w:rsidR="00BA0AA7" w:rsidRDefault="00C676EE" w:rsidP="00C676EE">
            <w:pPr>
              <w:jc w:val="left"/>
            </w:pPr>
            <w:r>
              <w:t>Ředitel sekce jaderné bezpečnosti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32D07A76" w14:textId="77777777" w:rsidR="00BA0AA7" w:rsidRDefault="00BA0AA7" w:rsidP="007422BF">
            <w:pPr>
              <w:ind w:left="57"/>
            </w:pPr>
            <w:r>
              <w:t>Ing. Zdeněk Tipek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02F6BFF6" w14:textId="77777777" w:rsidR="00BA0AA7" w:rsidRDefault="00BA0AA7" w:rsidP="007422BF"/>
        </w:tc>
      </w:tr>
      <w:tr w:rsidR="00BA0AA7" w14:paraId="485D0968" w14:textId="77777777" w:rsidTr="00C676EE">
        <w:trPr>
          <w:trHeight w:hRule="exact" w:val="704"/>
        </w:trPr>
        <w:tc>
          <w:tcPr>
            <w:tcW w:w="288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56F73B06" w14:textId="62FA16A8" w:rsidR="00BA0AA7" w:rsidRDefault="00C676EE" w:rsidP="00C676EE">
            <w:pPr>
              <w:jc w:val="left"/>
            </w:pPr>
            <w:r>
              <w:t>Ředitelka sekce radiační ochrany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65A027C0" w14:textId="77777777" w:rsidR="00BA0AA7" w:rsidRDefault="00BA0AA7" w:rsidP="007422BF">
            <w:pPr>
              <w:ind w:left="57"/>
            </w:pPr>
            <w:r>
              <w:t>Ing. Karla Petrová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4C21D108" w14:textId="77777777" w:rsidR="00BA0AA7" w:rsidRDefault="00BA0AA7" w:rsidP="007422BF"/>
        </w:tc>
      </w:tr>
      <w:tr w:rsidR="00BA0AA7" w14:paraId="0567E0C1" w14:textId="77777777" w:rsidTr="007422BF">
        <w:trPr>
          <w:trHeight w:val="454"/>
        </w:trPr>
        <w:tc>
          <w:tcPr>
            <w:tcW w:w="2887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</w:tcBorders>
            <w:shd w:val="clear" w:color="auto" w:fill="auto"/>
            <w:tcMar>
              <w:left w:w="-22" w:type="dxa"/>
            </w:tcMar>
          </w:tcPr>
          <w:p w14:paraId="343EAB08" w14:textId="5F299D60" w:rsidR="00BA0AA7" w:rsidRDefault="00C676EE" w:rsidP="00C676EE">
            <w:pPr>
              <w:jc w:val="left"/>
            </w:pPr>
            <w:r>
              <w:t>Ředitelka odboru krizového řízení a informatiky</w:t>
            </w:r>
            <w:r w:rsidR="00BA0AA7">
              <w:t>: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30" w:type="dxa"/>
            </w:tcMar>
          </w:tcPr>
          <w:p w14:paraId="633419FC" w14:textId="77777777" w:rsidR="00BA0AA7" w:rsidRDefault="00BA0AA7" w:rsidP="007422BF">
            <w:pPr>
              <w:ind w:left="57"/>
            </w:pPr>
            <w:r>
              <w:t>Ing. Věra Starostová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60D5CEB5" w14:textId="77777777" w:rsidR="00BA0AA7" w:rsidRDefault="00BA0AA7" w:rsidP="007422BF"/>
        </w:tc>
      </w:tr>
      <w:tr w:rsidR="00BA0AA7" w14:paraId="3B815909" w14:textId="77777777" w:rsidTr="00C676EE">
        <w:trPr>
          <w:trHeight w:hRule="exact" w:val="657"/>
        </w:trPr>
        <w:tc>
          <w:tcPr>
            <w:tcW w:w="2887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</w:tcBorders>
            <w:shd w:val="clear" w:color="auto" w:fill="auto"/>
            <w:tcMar>
              <w:left w:w="-22" w:type="dxa"/>
            </w:tcMar>
          </w:tcPr>
          <w:p w14:paraId="7D260E46" w14:textId="2ED8DF40" w:rsidR="00BA0AA7" w:rsidRDefault="00BA0AA7" w:rsidP="00C676EE">
            <w:pPr>
              <w:jc w:val="left"/>
            </w:pPr>
            <w:r>
              <w:t xml:space="preserve">Vedoucí </w:t>
            </w:r>
            <w:r w:rsidR="00C676EE">
              <w:t>právního oddělení</w:t>
            </w:r>
            <w:r>
              <w:t>: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37FE7C2E" w14:textId="30FE228D" w:rsidR="00BA0AA7" w:rsidRDefault="00C676EE" w:rsidP="007422BF">
            <w:pPr>
              <w:ind w:left="57"/>
            </w:pPr>
            <w:r>
              <w:t>Mgr. Štěpán Kochánek</w:t>
            </w:r>
          </w:p>
        </w:tc>
        <w:tc>
          <w:tcPr>
            <w:tcW w:w="3544" w:type="dxa"/>
            <w:tcBorders>
              <w:top w:val="single" w:sz="6" w:space="0" w:color="000001"/>
              <w:left w:val="single" w:sz="6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left w:w="30" w:type="dxa"/>
            </w:tcMar>
          </w:tcPr>
          <w:p w14:paraId="38EEC827" w14:textId="77777777" w:rsidR="00BA0AA7" w:rsidRDefault="00BA0AA7" w:rsidP="007422BF"/>
        </w:tc>
      </w:tr>
    </w:tbl>
    <w:p w14:paraId="6C417214" w14:textId="77777777" w:rsidR="00BA0AA7" w:rsidRDefault="00BA0AA7" w:rsidP="00BA0AA7">
      <w:pPr>
        <w:rPr>
          <w:rFonts w:ascii="Times New Roman" w:hAnsi="Times New Roman" w:cs="Times New Roman"/>
        </w:rPr>
      </w:pPr>
    </w:p>
    <w:p w14:paraId="25C251DE" w14:textId="77777777" w:rsidR="00BA0AA7" w:rsidRDefault="00BA0AA7" w:rsidP="00BA0AA7">
      <w:pPr>
        <w:ind w:left="-737"/>
      </w:pPr>
      <w:r>
        <w:rPr>
          <w:b/>
          <w:bCs/>
          <w:sz w:val="28"/>
          <w:szCs w:val="28"/>
        </w:rPr>
        <w:t>HISTORIE REVIZÍ</w:t>
      </w:r>
    </w:p>
    <w:tbl>
      <w:tblPr>
        <w:tblW w:w="9710" w:type="dxa"/>
        <w:tblInd w:w="-73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71"/>
        <w:gridCol w:w="1171"/>
        <w:gridCol w:w="1171"/>
        <w:gridCol w:w="6197"/>
      </w:tblGrid>
      <w:tr w:rsidR="00BA0AA7" w14:paraId="29876592" w14:textId="77777777" w:rsidTr="007422BF"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42" w:type="dxa"/>
            </w:tcMar>
          </w:tcPr>
          <w:p w14:paraId="2ACB7B01" w14:textId="77777777" w:rsidR="00BA0AA7" w:rsidRDefault="00BA0AA7" w:rsidP="007422BF">
            <w:pPr>
              <w:pStyle w:val="Obsahtabulky"/>
              <w:ind w:left="57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Revize č.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top w:w="57" w:type="dxa"/>
              <w:left w:w="-2" w:type="dxa"/>
              <w:bottom w:w="57" w:type="dxa"/>
              <w:right w:w="0" w:type="dxa"/>
            </w:tcMar>
          </w:tcPr>
          <w:p w14:paraId="5B3AA888" w14:textId="77777777" w:rsidR="00BA0AA7" w:rsidRDefault="00BA0AA7" w:rsidP="007422BF">
            <w:pPr>
              <w:pStyle w:val="Obsahtabulky"/>
              <w:ind w:left="57"/>
              <w:jc w:val="center"/>
            </w:pPr>
            <w:r>
              <w:rPr>
                <w:b/>
                <w:bCs/>
                <w:sz w:val="22"/>
                <w:szCs w:val="22"/>
              </w:rPr>
              <w:t>Účinnost od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6E6FF"/>
            <w:tcMar>
              <w:left w:w="42" w:type="dxa"/>
            </w:tcMar>
          </w:tcPr>
          <w:p w14:paraId="74605B12" w14:textId="77777777" w:rsidR="00BA0AA7" w:rsidRDefault="00BA0AA7" w:rsidP="007422BF">
            <w:pPr>
              <w:pStyle w:val="Obsahtabulky"/>
              <w:ind w:left="57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Garant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FF"/>
            <w:tcMar>
              <w:left w:w="42" w:type="dxa"/>
            </w:tcMar>
          </w:tcPr>
          <w:p w14:paraId="2F92B06F" w14:textId="77777777" w:rsidR="00BA0AA7" w:rsidRDefault="00BA0AA7" w:rsidP="007422BF">
            <w:pPr>
              <w:pStyle w:val="Obsahtabulky"/>
              <w:ind w:left="57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Popis či komentář změny</w:t>
            </w:r>
          </w:p>
        </w:tc>
      </w:tr>
      <w:tr w:rsidR="00BA0AA7" w:rsidRPr="005D6950" w14:paraId="0E8EF033" w14:textId="77777777" w:rsidTr="007422BF"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A50644F" w14:textId="77777777" w:rsidR="00BA0AA7" w:rsidRPr="005D6950" w:rsidRDefault="00BA0AA7" w:rsidP="007422BF">
            <w:pPr>
              <w:pStyle w:val="Obsahtabulky"/>
              <w:ind w:left="57"/>
              <w:rPr>
                <w:szCs w:val="22"/>
              </w:rPr>
            </w:pPr>
            <w:r w:rsidRPr="005D6950">
              <w:rPr>
                <w:sz w:val="22"/>
                <w:szCs w:val="22"/>
              </w:rPr>
              <w:t>1.00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0925157A" w14:textId="50F9725D" w:rsidR="00BA0AA7" w:rsidRPr="005D6950" w:rsidRDefault="00C676EE" w:rsidP="007422BF">
            <w:pPr>
              <w:pStyle w:val="Obsahtabulky"/>
              <w:ind w:left="57"/>
              <w:rPr>
                <w:szCs w:val="22"/>
              </w:rPr>
            </w:pPr>
            <w:r w:rsidRPr="00C676EE">
              <w:rPr>
                <w:sz w:val="22"/>
                <w:szCs w:val="22"/>
              </w:rPr>
              <w:t>1.9.2015</w:t>
            </w:r>
          </w:p>
        </w:tc>
        <w:tc>
          <w:tcPr>
            <w:tcW w:w="1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6EB59693" w14:textId="77777777" w:rsidR="00BA0AA7" w:rsidRPr="005D6950" w:rsidRDefault="00BA0AA7" w:rsidP="007422BF">
            <w:pPr>
              <w:pStyle w:val="Obsahtabulky"/>
              <w:ind w:left="57"/>
              <w:rPr>
                <w:szCs w:val="22"/>
              </w:rPr>
            </w:pPr>
            <w:r w:rsidRPr="005D6950">
              <w:rPr>
                <w:sz w:val="22"/>
                <w:szCs w:val="22"/>
              </w:rPr>
              <w:t>Leflerová</w:t>
            </w:r>
          </w:p>
        </w:tc>
        <w:tc>
          <w:tcPr>
            <w:tcW w:w="61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14:paraId="475E7A84" w14:textId="77777777" w:rsidR="00BA0AA7" w:rsidRPr="005D6950" w:rsidRDefault="00BA0AA7" w:rsidP="007422BF">
            <w:pPr>
              <w:pStyle w:val="Obsahtabulky"/>
              <w:ind w:left="5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Náhrada</w:t>
            </w:r>
            <w:r w:rsidRPr="005D6950">
              <w:rPr>
                <w:rFonts w:cs="Times New Roman"/>
                <w:sz w:val="22"/>
                <w:szCs w:val="22"/>
              </w:rPr>
              <w:t xml:space="preserve"> Politiky systému řízení Státního úřadu pro jadernou bezpečnost a Politiky bezpečnosti Státního úřadu pro jadernou bezpečnost</w:t>
            </w:r>
            <w:r>
              <w:rPr>
                <w:rFonts w:cs="Times New Roman"/>
                <w:sz w:val="22"/>
                <w:szCs w:val="22"/>
              </w:rPr>
              <w:t xml:space="preserve"> jednou integrovanou politikou.</w:t>
            </w:r>
          </w:p>
        </w:tc>
      </w:tr>
    </w:tbl>
    <w:p w14:paraId="1CA18AA1" w14:textId="77777777" w:rsidR="00BA0AA7" w:rsidRDefault="00BA0AA7" w:rsidP="00BA0AA7">
      <w:pPr>
        <w:ind w:left="-737"/>
      </w:pPr>
    </w:p>
    <w:p w14:paraId="7C4FFB81" w14:textId="77777777" w:rsidR="00BA0AA7" w:rsidRDefault="00BA0AA7" w:rsidP="00BA0AA7">
      <w:pPr>
        <w:ind w:left="-737"/>
        <w:rPr>
          <w:sz w:val="20"/>
        </w:rPr>
      </w:pPr>
      <w:r>
        <w:t>Zpracovatelé:</w:t>
      </w:r>
    </w:p>
    <w:p w14:paraId="23708CD6" w14:textId="77777777" w:rsidR="00BA0AA7" w:rsidRDefault="00BA0AA7" w:rsidP="00BA0AA7">
      <w:pPr>
        <w:ind w:left="-737"/>
        <w:rPr>
          <w:sz w:val="20"/>
        </w:rPr>
      </w:pPr>
      <w:r>
        <w:t>Mgr. Miroslava Leflerová (garant)</w:t>
      </w:r>
    </w:p>
    <w:p w14:paraId="2FD7A2B8" w14:textId="77777777" w:rsidR="00BA0AA7" w:rsidRPr="00275E24" w:rsidRDefault="00BA0AA7" w:rsidP="00BA0AA7">
      <w:pPr>
        <w:ind w:left="-737"/>
        <w:rPr>
          <w:sz w:val="20"/>
        </w:rPr>
      </w:pPr>
      <w:r w:rsidRPr="00275E24">
        <w:t xml:space="preserve">Ing. </w:t>
      </w:r>
      <w:r w:rsidRPr="00275E24">
        <w:rPr>
          <w:rFonts w:cs="Times New Roman"/>
        </w:rPr>
        <w:t>Petr Krs</w:t>
      </w:r>
    </w:p>
    <w:p w14:paraId="7E8A306D" w14:textId="77777777" w:rsidR="00BA0AA7" w:rsidRDefault="00BA0AA7" w:rsidP="00BA0AA7">
      <w:pPr>
        <w:ind w:left="-737"/>
        <w:rPr>
          <w:rFonts w:ascii="Times New Roman" w:hAnsi="Times New Roman" w:cs="Times New Roman"/>
        </w:rPr>
      </w:pPr>
      <w:r>
        <w:t>Per Partes Consulting, s.r.o</w:t>
      </w:r>
    </w:p>
    <w:p w14:paraId="1670BFA9" w14:textId="77777777" w:rsidR="00BA0AA7" w:rsidRDefault="00BA0AA7" w:rsidP="00BA0AA7">
      <w:pPr>
        <w:ind w:left="-737"/>
        <w:rPr>
          <w:rFonts w:ascii="Times New Roman" w:hAnsi="Times New Roman" w:cs="Times New Roman"/>
        </w:rPr>
      </w:pPr>
    </w:p>
    <w:p w14:paraId="7E7565D2" w14:textId="77777777" w:rsidR="00BA0AA7" w:rsidRDefault="00BA0AA7" w:rsidP="00BA0AA7">
      <w:pPr>
        <w:ind w:left="-737"/>
        <w:rPr>
          <w:rFonts w:ascii="Times New Roman" w:hAnsi="Times New Roman" w:cs="Times New Roman"/>
        </w:rPr>
      </w:pPr>
    </w:p>
    <w:p w14:paraId="2D1656E3" w14:textId="027882DD" w:rsidR="00BA0AA7" w:rsidRDefault="00BA0AA7" w:rsidP="00BA0AA7">
      <w:pPr>
        <w:ind w:left="-737"/>
        <w:rPr>
          <w:rFonts w:ascii="Times New Roman" w:hAnsi="Times New Roman" w:cs="Times New Roman"/>
        </w:rPr>
      </w:pPr>
      <w:r>
        <w:t>Tato politika byla projednána a schválena na poradě vedení a byli s ní seznámeni všichni pracovníci úřadu.</w:t>
      </w:r>
    </w:p>
    <w:p w14:paraId="78674E15" w14:textId="77777777" w:rsidR="00BA0AA7" w:rsidRDefault="00BA0AA7" w:rsidP="00BA0AA7">
      <w:pPr>
        <w:ind w:left="-737"/>
        <w:rPr>
          <w:rFonts w:ascii="Times New Roman" w:hAnsi="Times New Roman" w:cs="Times New Roman"/>
        </w:rPr>
      </w:pPr>
    </w:p>
    <w:p w14:paraId="7700AE26" w14:textId="45F878B1" w:rsidR="00AB60C5" w:rsidRDefault="00D77FB7" w:rsidP="00BA0AA7">
      <w:pPr>
        <w:pageBreakBefore/>
        <w:spacing w:before="320" w:after="120"/>
        <w:jc w:val="left"/>
      </w:pPr>
      <w:r>
        <w:rPr>
          <w:noProof/>
          <w:szCs w:val="26"/>
          <w:lang w:eastAsia="cs-CZ" w:bidi="ar-SA"/>
        </w:rPr>
        <w:lastRenderedPageBreak/>
        <mc:AlternateContent>
          <mc:Choice Requires="wps">
            <w:drawing>
              <wp:anchor distT="0" distB="0" distL="0" distR="0" simplePos="0" relativeHeight="4" behindDoc="1" locked="0" layoutInCell="1" allowOverlap="1" wp14:anchorId="7444DBBB" wp14:editId="05165C1D">
                <wp:simplePos x="0" y="0"/>
                <wp:positionH relativeFrom="column">
                  <wp:posOffset>-203835</wp:posOffset>
                </wp:positionH>
                <wp:positionV relativeFrom="paragraph">
                  <wp:posOffset>499745</wp:posOffset>
                </wp:positionV>
                <wp:extent cx="5972175" cy="723900"/>
                <wp:effectExtent l="0" t="0" r="9525" b="0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723900"/>
                        </a:xfrm>
                        <a:prstGeom prst="roundRect">
                          <a:avLst>
                            <a:gd name="adj" fmla="val 9275"/>
                          </a:avLst>
                        </a:prstGeom>
                        <a:solidFill>
                          <a:srgbClr val="001B4B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6" style="position:absolute;margin-left:-16.05pt;margin-top:39.35pt;width:470.25pt;height:57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0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" fillcolor="#001b4b" stroked="f"/>
            </w:pict>
          </mc:Fallback>
        </mc:AlternateContent>
      </w:r>
      <w:r w:rsidR="00CB1834">
        <w:rPr>
          <w:rFonts w:cs="Times New Roman"/>
          <w:b/>
          <w:bCs/>
          <w:color w:val="001B4B"/>
          <w:sz w:val="40"/>
          <w:szCs w:val="40"/>
        </w:rPr>
        <w:t xml:space="preserve">POLITIKA </w:t>
      </w:r>
      <w:r w:rsidR="00CB1834">
        <w:rPr>
          <w:rFonts w:cs="Times New Roman"/>
          <w:b/>
          <w:bCs/>
          <w:caps/>
          <w:color w:val="001B4B"/>
          <w:sz w:val="40"/>
          <w:szCs w:val="40"/>
        </w:rPr>
        <w:t xml:space="preserve">integrovaného systému řízení </w:t>
      </w:r>
      <w:bookmarkStart w:id="0" w:name="_GoBack"/>
      <w:bookmarkEnd w:id="0"/>
    </w:p>
    <w:p w14:paraId="75379507" w14:textId="7BB76A89" w:rsidR="00AB60C5" w:rsidRPr="002A5DF6" w:rsidRDefault="00CB1834" w:rsidP="00D77FB7">
      <w:pPr>
        <w:rPr>
          <w:rFonts w:asciiTheme="majorHAnsi" w:hAnsiTheme="majorHAnsi"/>
        </w:rPr>
      </w:pPr>
      <w:bookmarkStart w:id="1" w:name="__UnoMark__7283_418618685"/>
      <w:bookmarkEnd w:id="1"/>
      <w:r w:rsidRPr="002A5DF6">
        <w:rPr>
          <w:rFonts w:asciiTheme="majorHAnsi" w:hAnsiTheme="majorHAnsi"/>
          <w:b/>
          <w:bCs/>
          <w:color w:val="FFFFFF"/>
        </w:rPr>
        <w:t xml:space="preserve">Posláním Státního úřadu pro jadernou bezpečnost je výkon státní správy </w:t>
      </w:r>
      <w:r w:rsidR="007D48D9" w:rsidRPr="002A5DF6">
        <w:rPr>
          <w:rFonts w:asciiTheme="majorHAnsi" w:hAnsiTheme="majorHAnsi"/>
          <w:b/>
          <w:bCs/>
          <w:color w:val="FFFFFF"/>
        </w:rPr>
        <w:t xml:space="preserve">včetně dozoru </w:t>
      </w:r>
      <w:r w:rsidRPr="002A5DF6">
        <w:rPr>
          <w:rFonts w:asciiTheme="majorHAnsi" w:hAnsiTheme="majorHAnsi"/>
          <w:b/>
          <w:bCs/>
          <w:color w:val="FFFFFF"/>
        </w:rPr>
        <w:t xml:space="preserve">a </w:t>
      </w:r>
      <w:r w:rsidR="0007290D" w:rsidRPr="002A5DF6">
        <w:rPr>
          <w:rFonts w:asciiTheme="majorHAnsi" w:hAnsiTheme="majorHAnsi"/>
          <w:b/>
          <w:bCs/>
          <w:color w:val="FFFFFF"/>
        </w:rPr>
        <w:t xml:space="preserve">kontroly </w:t>
      </w:r>
      <w:r w:rsidR="00380D2F" w:rsidRPr="002A5DF6">
        <w:rPr>
          <w:rFonts w:asciiTheme="majorHAnsi" w:hAnsiTheme="majorHAnsi"/>
          <w:b/>
          <w:bCs/>
          <w:color w:val="FFFFFF"/>
        </w:rPr>
        <w:t>při využívání jaderné energie a</w:t>
      </w:r>
      <w:r w:rsidRPr="002A5DF6">
        <w:rPr>
          <w:rFonts w:asciiTheme="majorHAnsi" w:hAnsiTheme="majorHAnsi"/>
          <w:b/>
          <w:bCs/>
          <w:color w:val="FFFFFF"/>
        </w:rPr>
        <w:t xml:space="preserve"> ionizujícího záření a </w:t>
      </w:r>
      <w:r w:rsidR="00380D2F" w:rsidRPr="002A5DF6">
        <w:rPr>
          <w:rFonts w:asciiTheme="majorHAnsi" w:hAnsiTheme="majorHAnsi" w:cs="Times New Roman"/>
          <w:b/>
          <w:bCs/>
          <w:color w:val="FFFFFF"/>
        </w:rPr>
        <w:t xml:space="preserve">při </w:t>
      </w:r>
      <w:r w:rsidRPr="002A5DF6">
        <w:rPr>
          <w:rFonts w:asciiTheme="majorHAnsi" w:hAnsiTheme="majorHAnsi"/>
          <w:b/>
          <w:bCs/>
          <w:color w:val="FFFFFF"/>
        </w:rPr>
        <w:t>nešíře</w:t>
      </w:r>
      <w:r w:rsidR="000F0639" w:rsidRPr="002A5DF6">
        <w:rPr>
          <w:rFonts w:asciiTheme="majorHAnsi" w:hAnsiTheme="majorHAnsi"/>
          <w:b/>
          <w:bCs/>
          <w:color w:val="FFFFFF"/>
        </w:rPr>
        <w:t>ní zbraní hromadného ničení pro </w:t>
      </w:r>
      <w:r w:rsidRPr="002A5DF6">
        <w:rPr>
          <w:rFonts w:asciiTheme="majorHAnsi" w:hAnsiTheme="majorHAnsi"/>
          <w:b/>
          <w:bCs/>
          <w:color w:val="FFFFFF"/>
        </w:rPr>
        <w:t>ochranu jednotlivce, společnosti a životního prostředí.</w:t>
      </w:r>
    </w:p>
    <w:p w14:paraId="250D5161" w14:textId="77777777" w:rsidR="00191851" w:rsidRDefault="00191851">
      <w:pPr>
        <w:rPr>
          <w:rFonts w:eastAsia="Wingdings" w:cs="Wingdings"/>
          <w:sz w:val="22"/>
          <w:szCs w:val="22"/>
        </w:rPr>
      </w:pPr>
    </w:p>
    <w:p w14:paraId="40CAD47B" w14:textId="0C54E6C0" w:rsidR="00AB60C5" w:rsidRPr="00191851" w:rsidRDefault="00194581">
      <w:pPr>
        <w:rPr>
          <w:sz w:val="22"/>
          <w:szCs w:val="22"/>
        </w:rPr>
      </w:pPr>
      <w:r w:rsidRPr="00191851">
        <w:rPr>
          <w:rFonts w:eastAsia="Wingdings" w:cs="Wingdings"/>
          <w:sz w:val="22"/>
          <w:szCs w:val="22"/>
        </w:rPr>
        <w:t xml:space="preserve">Integrovaný systém řízení </w:t>
      </w:r>
      <w:r w:rsidR="00CB1834" w:rsidRPr="00191851">
        <w:rPr>
          <w:rFonts w:eastAsia="Wingdings" w:cs="Wingdings"/>
          <w:sz w:val="22"/>
          <w:szCs w:val="22"/>
        </w:rPr>
        <w:t xml:space="preserve">SÚJB vytváří jednotné kontrolované prostředí pro </w:t>
      </w:r>
      <w:r w:rsidR="007D48D9" w:rsidRPr="00191851">
        <w:rPr>
          <w:rFonts w:eastAsia="Wingdings" w:cs="Wingdings"/>
          <w:sz w:val="22"/>
          <w:szCs w:val="22"/>
        </w:rPr>
        <w:t xml:space="preserve">činnost </w:t>
      </w:r>
      <w:r w:rsidR="00CB1834" w:rsidRPr="00191851">
        <w:rPr>
          <w:rFonts w:eastAsia="Wingdings" w:cs="Wingdings"/>
          <w:sz w:val="22"/>
          <w:szCs w:val="22"/>
        </w:rPr>
        <w:t xml:space="preserve">úřadu a nastavuje řídící pravidla </w:t>
      </w:r>
      <w:r w:rsidR="007D48D9" w:rsidRPr="00191851">
        <w:rPr>
          <w:rFonts w:eastAsia="Wingdings" w:cs="Wingdings"/>
          <w:sz w:val="22"/>
          <w:szCs w:val="22"/>
        </w:rPr>
        <w:t xml:space="preserve">řízení </w:t>
      </w:r>
      <w:r w:rsidR="00CB1834" w:rsidRPr="00191851">
        <w:rPr>
          <w:rFonts w:eastAsia="Wingdings" w:cs="Wingdings"/>
          <w:sz w:val="22"/>
          <w:szCs w:val="22"/>
        </w:rPr>
        <w:t xml:space="preserve">závazná pro všechny </w:t>
      </w:r>
      <w:r w:rsidR="007D48D9" w:rsidRPr="00191851">
        <w:rPr>
          <w:rFonts w:eastAsia="Wingdings" w:cs="Wingdings"/>
          <w:sz w:val="22"/>
          <w:szCs w:val="22"/>
        </w:rPr>
        <w:t>jeho zaměstnance</w:t>
      </w:r>
      <w:r w:rsidR="00CB1834" w:rsidRPr="00191851">
        <w:rPr>
          <w:rFonts w:eastAsia="Wingdings" w:cs="Wingdings"/>
          <w:sz w:val="22"/>
          <w:szCs w:val="22"/>
        </w:rPr>
        <w:t xml:space="preserve">. </w:t>
      </w:r>
      <w:r w:rsidR="007D48D9" w:rsidRPr="00191851">
        <w:rPr>
          <w:rFonts w:eastAsia="Wingdings" w:cs="Wingdings"/>
          <w:sz w:val="22"/>
          <w:szCs w:val="22"/>
        </w:rPr>
        <w:t xml:space="preserve">Posiluje </w:t>
      </w:r>
      <w:r w:rsidR="00CB1834" w:rsidRPr="00191851">
        <w:rPr>
          <w:rFonts w:eastAsia="Wingdings" w:cs="Wingdings"/>
          <w:sz w:val="22"/>
          <w:szCs w:val="22"/>
        </w:rPr>
        <w:t>důvěru interních a externích zainteresovaných stran v to, že</w:t>
      </w:r>
      <w:r w:rsidR="00C0658A" w:rsidRPr="00191851">
        <w:rPr>
          <w:rFonts w:eastAsia="Wingdings" w:cs="Wingdings"/>
          <w:sz w:val="22"/>
          <w:szCs w:val="22"/>
        </w:rPr>
        <w:t xml:space="preserve"> </w:t>
      </w:r>
      <w:r w:rsidR="00CB1834" w:rsidRPr="00191851">
        <w:rPr>
          <w:rFonts w:eastAsia="Wingdings" w:cs="Wingdings"/>
          <w:sz w:val="22"/>
          <w:szCs w:val="22"/>
        </w:rPr>
        <w:t xml:space="preserve">v souladu s </w:t>
      </w:r>
      <w:r w:rsidR="00CB1834" w:rsidRPr="00191851">
        <w:rPr>
          <w:rFonts w:asciiTheme="majorHAnsi" w:eastAsia="Wingdings" w:hAnsiTheme="majorHAnsi" w:cs="Wingdings"/>
          <w:sz w:val="22"/>
          <w:szCs w:val="22"/>
        </w:rPr>
        <w:t xml:space="preserve">posláním </w:t>
      </w:r>
      <w:r w:rsidR="0007290D" w:rsidRPr="00191851">
        <w:rPr>
          <w:rFonts w:asciiTheme="majorHAnsi" w:eastAsia="Wingdings" w:hAnsiTheme="majorHAnsi" w:cs="Times New Roman"/>
          <w:sz w:val="22"/>
          <w:szCs w:val="22"/>
        </w:rPr>
        <w:t xml:space="preserve">úřadu </w:t>
      </w:r>
      <w:r w:rsidR="00CB1834" w:rsidRPr="00191851">
        <w:rPr>
          <w:rFonts w:asciiTheme="majorHAnsi" w:eastAsia="Wingdings" w:hAnsiTheme="majorHAnsi" w:cs="Wingdings"/>
          <w:sz w:val="22"/>
          <w:szCs w:val="22"/>
        </w:rPr>
        <w:t>je</w:t>
      </w:r>
      <w:r w:rsidR="00CB1834" w:rsidRPr="00191851">
        <w:rPr>
          <w:rFonts w:eastAsia="Wingdings" w:cs="Wingdings"/>
          <w:sz w:val="22"/>
          <w:szCs w:val="22"/>
        </w:rPr>
        <w:t xml:space="preserve"> správným směrem a s efektivitou prováděno řízení a kontrola činností úřadu. Systém řízení SÚJB jako </w:t>
      </w:r>
      <w:r w:rsidR="00CB1834" w:rsidRPr="00191851">
        <w:rPr>
          <w:rFonts w:asciiTheme="majorHAnsi" w:eastAsia="Wingdings" w:hAnsiTheme="majorHAnsi" w:cs="Wingdings"/>
          <w:sz w:val="22"/>
          <w:szCs w:val="22"/>
        </w:rPr>
        <w:t xml:space="preserve">ústředního </w:t>
      </w:r>
      <w:r w:rsidR="0007290D" w:rsidRPr="00191851">
        <w:rPr>
          <w:rFonts w:asciiTheme="majorHAnsi" w:eastAsia="Wingdings" w:hAnsiTheme="majorHAnsi" w:cs="Times New Roman"/>
          <w:sz w:val="22"/>
          <w:szCs w:val="22"/>
        </w:rPr>
        <w:t>správního úřadu</w:t>
      </w:r>
      <w:r w:rsidR="00CB1834" w:rsidRPr="00191851">
        <w:rPr>
          <w:rFonts w:asciiTheme="majorHAnsi" w:eastAsia="Wingdings" w:hAnsiTheme="majorHAnsi" w:cs="Wingdings"/>
          <w:sz w:val="22"/>
          <w:szCs w:val="22"/>
        </w:rPr>
        <w:t xml:space="preserve"> je</w:t>
      </w:r>
      <w:r w:rsidR="00CB1834" w:rsidRPr="00191851">
        <w:rPr>
          <w:rFonts w:eastAsia="Wingdings" w:cs="Wingdings"/>
          <w:sz w:val="22"/>
          <w:szCs w:val="22"/>
        </w:rPr>
        <w:t xml:space="preserve"> postaven na principec</w:t>
      </w:r>
      <w:r w:rsidR="00C55695" w:rsidRPr="00191851">
        <w:rPr>
          <w:rFonts w:eastAsia="Wingdings" w:cs="Wingdings"/>
          <w:sz w:val="22"/>
          <w:szCs w:val="22"/>
        </w:rPr>
        <w:t>h a požadavcích, které stanovují</w:t>
      </w:r>
      <w:r w:rsidR="00CB1834" w:rsidRPr="00191851">
        <w:rPr>
          <w:rFonts w:eastAsia="Wingdings" w:cs="Wingdings"/>
          <w:sz w:val="22"/>
          <w:szCs w:val="22"/>
        </w:rPr>
        <w:t>:</w:t>
      </w:r>
    </w:p>
    <w:p w14:paraId="40464388" w14:textId="01CD31FF" w:rsidR="00AB60C5" w:rsidRPr="00191851" w:rsidRDefault="00CB1834" w:rsidP="00BD5CF7">
      <w:pPr>
        <w:numPr>
          <w:ilvl w:val="0"/>
          <w:numId w:val="2"/>
        </w:numPr>
        <w:ind w:left="85" w:right="0" w:firstLine="0"/>
        <w:rPr>
          <w:sz w:val="22"/>
          <w:szCs w:val="22"/>
        </w:rPr>
      </w:pPr>
      <w:r w:rsidRPr="00191851">
        <w:rPr>
          <w:sz w:val="22"/>
          <w:szCs w:val="22"/>
        </w:rPr>
        <w:t> </w:t>
      </w:r>
      <w:r w:rsidR="00835D04" w:rsidRPr="00191851">
        <w:rPr>
          <w:rFonts w:asciiTheme="majorHAnsi" w:hAnsiTheme="majorHAnsi" w:cs="Times New Roman"/>
          <w:sz w:val="22"/>
          <w:szCs w:val="22"/>
        </w:rPr>
        <w:t>Právní předpisy</w:t>
      </w:r>
      <w:r w:rsidRPr="00191851">
        <w:rPr>
          <w:rFonts w:asciiTheme="majorHAnsi" w:hAnsiTheme="majorHAnsi"/>
          <w:sz w:val="22"/>
          <w:szCs w:val="22"/>
        </w:rPr>
        <w:t xml:space="preserve"> ČR</w:t>
      </w:r>
      <w:r w:rsidRPr="00191851">
        <w:rPr>
          <w:sz w:val="22"/>
          <w:szCs w:val="22"/>
        </w:rPr>
        <w:t xml:space="preserve"> (zákon</w:t>
      </w:r>
      <w:r w:rsidR="00835D04" w:rsidRPr="00191851">
        <w:rPr>
          <w:rFonts w:asciiTheme="majorHAnsi" w:hAnsiTheme="majorHAnsi" w:cs="Times New Roman"/>
          <w:sz w:val="22"/>
          <w:szCs w:val="22"/>
        </w:rPr>
        <w:t>y</w:t>
      </w:r>
      <w:r w:rsidRPr="00191851">
        <w:rPr>
          <w:sz w:val="22"/>
          <w:szCs w:val="22"/>
        </w:rPr>
        <w:t xml:space="preserve"> č. </w:t>
      </w:r>
      <w:r w:rsidR="00835D04" w:rsidRPr="00191851">
        <w:rPr>
          <w:sz w:val="22"/>
          <w:szCs w:val="22"/>
        </w:rPr>
        <w:t xml:space="preserve">18/1997 Sb., </w:t>
      </w:r>
      <w:r w:rsidRPr="00191851">
        <w:rPr>
          <w:sz w:val="22"/>
          <w:szCs w:val="22"/>
        </w:rPr>
        <w:t xml:space="preserve">č. </w:t>
      </w:r>
      <w:r w:rsidR="00835D04" w:rsidRPr="00191851">
        <w:rPr>
          <w:sz w:val="22"/>
          <w:szCs w:val="22"/>
        </w:rPr>
        <w:t xml:space="preserve">19/1997 Sb., </w:t>
      </w:r>
      <w:r w:rsidRPr="00191851">
        <w:rPr>
          <w:sz w:val="22"/>
          <w:szCs w:val="22"/>
        </w:rPr>
        <w:t>č. 281/2002 Sb. a další);</w:t>
      </w:r>
    </w:p>
    <w:p w14:paraId="629991DE" w14:textId="40516F7D" w:rsidR="00AB60C5" w:rsidRPr="00191851" w:rsidRDefault="00835D04" w:rsidP="00BD5CF7">
      <w:pPr>
        <w:numPr>
          <w:ilvl w:val="0"/>
          <w:numId w:val="2"/>
        </w:numPr>
        <w:ind w:left="85" w:right="0" w:firstLine="0"/>
        <w:rPr>
          <w:sz w:val="22"/>
          <w:szCs w:val="22"/>
        </w:rPr>
      </w:pPr>
      <w:r w:rsidRPr="00191851">
        <w:rPr>
          <w:sz w:val="22"/>
          <w:szCs w:val="22"/>
        </w:rPr>
        <w:t> Evropské</w:t>
      </w:r>
      <w:r w:rsidR="00CB1834" w:rsidRPr="00191851">
        <w:rPr>
          <w:rFonts w:asciiTheme="majorHAnsi" w:hAnsiTheme="majorHAnsi"/>
          <w:sz w:val="22"/>
          <w:szCs w:val="22"/>
        </w:rPr>
        <w:t xml:space="preserve"> </w:t>
      </w:r>
      <w:r w:rsidRPr="00191851">
        <w:rPr>
          <w:rFonts w:asciiTheme="majorHAnsi" w:hAnsiTheme="majorHAnsi" w:cs="Times New Roman"/>
          <w:sz w:val="22"/>
          <w:szCs w:val="22"/>
        </w:rPr>
        <w:t>právní předpisy</w:t>
      </w:r>
      <w:r w:rsidR="00CB1834" w:rsidRPr="00191851">
        <w:rPr>
          <w:sz w:val="22"/>
          <w:szCs w:val="22"/>
        </w:rPr>
        <w:t>, mezinárodní úmluvy a dohody týkající se působnosti SÚJB;</w:t>
      </w:r>
    </w:p>
    <w:p w14:paraId="387DED35" w14:textId="1C4FE6EC" w:rsidR="00AB60C5" w:rsidRPr="00191851" w:rsidRDefault="00835D04" w:rsidP="00BD5CF7">
      <w:pPr>
        <w:numPr>
          <w:ilvl w:val="0"/>
          <w:numId w:val="2"/>
        </w:numPr>
        <w:ind w:left="85" w:right="0" w:firstLine="0"/>
        <w:rPr>
          <w:sz w:val="22"/>
          <w:szCs w:val="22"/>
        </w:rPr>
      </w:pPr>
      <w:r w:rsidRPr="00191851">
        <w:rPr>
          <w:sz w:val="22"/>
          <w:szCs w:val="22"/>
        </w:rPr>
        <w:t> </w:t>
      </w:r>
      <w:r w:rsidR="00C0658A" w:rsidRPr="00191851">
        <w:rPr>
          <w:sz w:val="22"/>
          <w:szCs w:val="22"/>
        </w:rPr>
        <w:t xml:space="preserve">Standardy a doporučení </w:t>
      </w:r>
      <w:r w:rsidRPr="00191851">
        <w:rPr>
          <w:sz w:val="22"/>
          <w:szCs w:val="22"/>
        </w:rPr>
        <w:t>MA</w:t>
      </w:r>
      <w:r w:rsidR="00CB1834" w:rsidRPr="00191851">
        <w:rPr>
          <w:sz w:val="22"/>
          <w:szCs w:val="22"/>
        </w:rPr>
        <w:t>A</w:t>
      </w:r>
      <w:r w:rsidRPr="00191851">
        <w:rPr>
          <w:rFonts w:asciiTheme="majorHAnsi" w:hAnsiTheme="majorHAnsi" w:cs="Times New Roman"/>
          <w:sz w:val="22"/>
          <w:szCs w:val="22"/>
        </w:rPr>
        <w:t>E</w:t>
      </w:r>
      <w:r w:rsidR="00CB1834" w:rsidRPr="00191851">
        <w:rPr>
          <w:sz w:val="22"/>
          <w:szCs w:val="22"/>
        </w:rPr>
        <w:t>, WENRA, OECD/NEA</w:t>
      </w:r>
      <w:r w:rsidR="00C0658A" w:rsidRPr="00191851">
        <w:rPr>
          <w:sz w:val="22"/>
          <w:szCs w:val="22"/>
        </w:rPr>
        <w:t>, ICRP a dalších</w:t>
      </w:r>
      <w:r w:rsidR="00CB1834" w:rsidRPr="00191851">
        <w:rPr>
          <w:sz w:val="22"/>
          <w:szCs w:val="22"/>
        </w:rPr>
        <w:t>.</w:t>
      </w:r>
    </w:p>
    <w:p w14:paraId="5201D1E2" w14:textId="77777777" w:rsidR="00AB60C5" w:rsidRDefault="00CB1834" w:rsidP="00092624">
      <w:pPr>
        <w:spacing w:before="240" w:after="113"/>
        <w:ind w:left="-737"/>
        <w:jc w:val="left"/>
        <w:rPr>
          <w:b/>
          <w:bCs/>
          <w:color w:val="001B4B"/>
          <w:sz w:val="28"/>
          <w:szCs w:val="28"/>
        </w:rPr>
      </w:pPr>
      <w:r>
        <w:rPr>
          <w:b/>
          <w:bCs/>
          <w:color w:val="001B4B"/>
          <w:sz w:val="28"/>
          <w:szCs w:val="28"/>
        </w:rPr>
        <w:t>Základní kameny (zásady) integrovaného systému řízení SÚJB:</w:t>
      </w:r>
    </w:p>
    <w:tbl>
      <w:tblPr>
        <w:tblW w:w="9808" w:type="dxa"/>
        <w:tblInd w:w="-73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283"/>
        <w:gridCol w:w="4764"/>
      </w:tblGrid>
      <w:tr w:rsidR="00AB60C5" w:rsidRPr="002A5DF6" w14:paraId="30CBBA3F" w14:textId="77777777" w:rsidTr="00092624">
        <w:trPr>
          <w:trHeight w:val="8264"/>
        </w:trPr>
        <w:tc>
          <w:tcPr>
            <w:tcW w:w="4761" w:type="dxa"/>
            <w:shd w:val="clear" w:color="auto" w:fill="auto"/>
          </w:tcPr>
          <w:p w14:paraId="2ADDBDD2" w14:textId="77777777" w:rsidR="00AB60C5" w:rsidRPr="002A5DF6" w:rsidRDefault="00CB1834" w:rsidP="00B0182E">
            <w:pPr>
              <w:numPr>
                <w:ilvl w:val="0"/>
                <w:numId w:val="5"/>
              </w:numPr>
              <w:spacing w:after="57"/>
              <w:jc w:val="left"/>
              <w:rPr>
                <w:color w:val="FFFFFF" w:themeColor="background1"/>
                <w:sz w:val="22"/>
                <w:szCs w:val="22"/>
              </w:rPr>
            </w:pPr>
            <w:bookmarkStart w:id="2" w:name="__UnoMark__7354_418618685"/>
            <w:bookmarkEnd w:id="2"/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Priorita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2" behindDoc="1" locked="0" layoutInCell="1" allowOverlap="1" wp14:anchorId="37B4C700" wp14:editId="2D431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 xml:space="preserve"> bezpečnosti</w:t>
            </w:r>
          </w:p>
          <w:p w14:paraId="17C7D84A" w14:textId="00EEDD98" w:rsidR="00AB60C5" w:rsidRPr="002A5DF6" w:rsidRDefault="00C0658A">
            <w:pPr>
              <w:spacing w:after="170"/>
              <w:ind w:left="85" w:right="0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2A5DF6">
              <w:rPr>
                <w:rFonts w:asciiTheme="majorHAnsi" w:eastAsia="Wingdings" w:hAnsiTheme="majorHAnsi" w:cs="Wingdings"/>
                <w:sz w:val="22"/>
                <w:szCs w:val="22"/>
              </w:rPr>
              <w:t>Prioritou s</w:t>
            </w:r>
            <w:r w:rsidR="00CB183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>ystém</w:t>
            </w:r>
            <w:r w:rsidRPr="002A5DF6">
              <w:rPr>
                <w:rFonts w:asciiTheme="majorHAnsi" w:eastAsia="Wingdings" w:hAnsiTheme="majorHAnsi" w:cs="Wingdings"/>
                <w:sz w:val="22"/>
                <w:szCs w:val="22"/>
              </w:rPr>
              <w:t>u</w:t>
            </w:r>
            <w:r w:rsidR="00CB183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 xml:space="preserve"> řízení</w:t>
            </w:r>
            <w:r w:rsidRPr="002A5DF6">
              <w:rPr>
                <w:rFonts w:asciiTheme="majorHAnsi" w:eastAsia="Wingdings" w:hAnsiTheme="majorHAnsi" w:cs="Wingdings"/>
                <w:sz w:val="22"/>
                <w:szCs w:val="22"/>
              </w:rPr>
              <w:t xml:space="preserve"> je zajištění</w:t>
            </w:r>
            <w:r w:rsidR="00835D04" w:rsidRPr="002A5DF6">
              <w:rPr>
                <w:rFonts w:asciiTheme="majorHAnsi" w:eastAsia="Wingdings" w:hAnsiTheme="majorHAnsi" w:cs="Times New Roman"/>
                <w:sz w:val="22"/>
                <w:szCs w:val="22"/>
              </w:rPr>
              <w:t xml:space="preserve"> </w:t>
            </w:r>
            <w:r w:rsidR="00835D0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>jaderné</w:t>
            </w:r>
            <w:r w:rsidR="00CB183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 xml:space="preserve"> bezpečnost</w:t>
            </w:r>
            <w:r w:rsidR="00835D04" w:rsidRPr="002A5DF6">
              <w:rPr>
                <w:rFonts w:asciiTheme="majorHAnsi" w:eastAsia="Wingdings" w:hAnsiTheme="majorHAnsi" w:cs="Times New Roman"/>
                <w:sz w:val="22"/>
                <w:szCs w:val="22"/>
              </w:rPr>
              <w:t>i</w:t>
            </w:r>
            <w:r w:rsidR="00835D0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 xml:space="preserve"> a radiační ochrany</w:t>
            </w:r>
            <w:r w:rsidR="00CB183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>, stejně jako kontrol</w:t>
            </w:r>
            <w:r w:rsidRPr="002A5DF6">
              <w:rPr>
                <w:rFonts w:asciiTheme="majorHAnsi" w:eastAsia="Wingdings" w:hAnsiTheme="majorHAnsi" w:cs="Wingdings"/>
                <w:sz w:val="22"/>
                <w:szCs w:val="22"/>
              </w:rPr>
              <w:t>y</w:t>
            </w:r>
            <w:r w:rsidR="00CB183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 xml:space="preserve"> zákazu chemických a biologických zbraní</w:t>
            </w:r>
            <w:r w:rsidR="002730AC" w:rsidRPr="002A5DF6">
              <w:rPr>
                <w:rFonts w:asciiTheme="majorHAnsi" w:eastAsia="Wingdings" w:hAnsiTheme="majorHAnsi" w:cs="Wingdings"/>
                <w:sz w:val="22"/>
                <w:szCs w:val="22"/>
              </w:rPr>
              <w:t xml:space="preserve"> a nešíření jaderných zbraní</w:t>
            </w:r>
            <w:r w:rsidR="00CB1834" w:rsidRPr="002A5DF6">
              <w:rPr>
                <w:rFonts w:asciiTheme="majorHAnsi" w:eastAsia="Wingdings" w:hAnsiTheme="majorHAnsi" w:cs="Wingdings"/>
                <w:sz w:val="22"/>
                <w:szCs w:val="22"/>
              </w:rPr>
              <w:t>.</w:t>
            </w:r>
          </w:p>
          <w:p w14:paraId="68C14ECB" w14:textId="77777777" w:rsidR="00AB60C5" w:rsidRPr="002A5DF6" w:rsidRDefault="00CB1834" w:rsidP="00B0182E">
            <w:pPr>
              <w:numPr>
                <w:ilvl w:val="0"/>
                <w:numId w:val="5"/>
              </w:numPr>
              <w:spacing w:after="57"/>
              <w:jc w:val="left"/>
              <w:rPr>
                <w:color w:val="FFFFFF" w:themeColor="background1"/>
                <w:sz w:val="22"/>
                <w:szCs w:val="22"/>
              </w:rPr>
            </w:pPr>
            <w:bookmarkStart w:id="3" w:name="__UnoMark__7390_418618685"/>
            <w:bookmarkEnd w:id="3"/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Nestrannost a nezávislost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3" behindDoc="1" locked="0" layoutInCell="1" allowOverlap="1" wp14:anchorId="00EC802F" wp14:editId="0BFE2D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</w:p>
          <w:p w14:paraId="5AF8BFA0" w14:textId="137D7907" w:rsidR="00AB60C5" w:rsidRPr="002A5DF6" w:rsidRDefault="00835D04">
            <w:pPr>
              <w:spacing w:after="170"/>
              <w:ind w:left="85" w:right="0"/>
              <w:jc w:val="left"/>
              <w:rPr>
                <w:sz w:val="22"/>
                <w:szCs w:val="22"/>
              </w:rPr>
            </w:pPr>
            <w:r w:rsidRPr="002A5DF6">
              <w:rPr>
                <w:rStyle w:val="zsady"/>
                <w:rFonts w:asciiTheme="majorHAnsi" w:hAnsiTheme="majorHAnsi" w:cs="Times New Roman"/>
                <w:sz w:val="22"/>
                <w:szCs w:val="22"/>
              </w:rPr>
              <w:t>Kontrolní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činnost je postavena na rovnosti a objektivitě a vychází z odstupňovaného přístupu k</w:t>
            </w:r>
            <w:r w:rsidR="004A009E" w:rsidRPr="002A5DF6">
              <w:rPr>
                <w:rStyle w:val="zsady"/>
                <w:rFonts w:asciiTheme="majorHAnsi" w:hAnsiTheme="majorHAnsi" w:cs="Times New Roman"/>
                <w:sz w:val="22"/>
                <w:szCs w:val="22"/>
              </w:rPr>
              <w:t>e</w:t>
            </w:r>
            <w:r w:rsidR="00CB1834" w:rsidRPr="002A5DF6">
              <w:rPr>
                <w:rStyle w:val="zsady"/>
                <w:sz w:val="22"/>
                <w:szCs w:val="22"/>
              </w:rPr>
              <w:t> </w:t>
            </w:r>
            <w:r w:rsidR="004A009E" w:rsidRPr="002A5DF6">
              <w:rPr>
                <w:rStyle w:val="zsady"/>
                <w:rFonts w:asciiTheme="majorHAnsi" w:hAnsiTheme="majorHAnsi" w:cs="Times New Roman"/>
                <w:sz w:val="22"/>
                <w:szCs w:val="22"/>
              </w:rPr>
              <w:t>kont</w:t>
            </w:r>
            <w:r w:rsidR="00CB1834" w:rsidRPr="002A5DF6">
              <w:rPr>
                <w:rStyle w:val="zsady"/>
                <w:rFonts w:asciiTheme="majorHAnsi" w:hAnsiTheme="majorHAnsi"/>
                <w:sz w:val="22"/>
                <w:szCs w:val="22"/>
              </w:rPr>
              <w:t>ro</w:t>
            </w:r>
            <w:r w:rsidR="004A009E" w:rsidRPr="002A5DF6">
              <w:rPr>
                <w:rStyle w:val="zsady"/>
                <w:rFonts w:asciiTheme="majorHAnsi" w:hAnsiTheme="majorHAnsi" w:cs="Times New Roman"/>
                <w:sz w:val="22"/>
                <w:szCs w:val="22"/>
              </w:rPr>
              <w:t>lo</w:t>
            </w:r>
            <w:r w:rsidR="00CB1834" w:rsidRPr="002A5DF6">
              <w:rPr>
                <w:rStyle w:val="zsady"/>
                <w:rFonts w:asciiTheme="majorHAnsi" w:hAnsiTheme="majorHAnsi"/>
                <w:sz w:val="22"/>
                <w:szCs w:val="22"/>
              </w:rPr>
              <w:t>vaným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subjektům na základě analýzy </w:t>
            </w:r>
            <w:r w:rsidR="004A009E" w:rsidRPr="002A5DF6">
              <w:rPr>
                <w:rStyle w:val="zsady"/>
                <w:rFonts w:cs="Times New Roman"/>
                <w:sz w:val="22"/>
                <w:szCs w:val="22"/>
              </w:rPr>
              <w:t>a hodnocení</w:t>
            </w:r>
            <w:r w:rsidR="004A009E" w:rsidRPr="002A5DF6">
              <w:rPr>
                <w:rStyle w:val="zsady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B1834" w:rsidRPr="002A5DF6">
              <w:rPr>
                <w:rStyle w:val="zsady"/>
                <w:sz w:val="22"/>
                <w:szCs w:val="22"/>
              </w:rPr>
              <w:t>rizik.</w:t>
            </w:r>
          </w:p>
          <w:p w14:paraId="13DC3CF6" w14:textId="77777777" w:rsidR="00AB60C5" w:rsidRPr="002A5DF6" w:rsidRDefault="00CB1834" w:rsidP="00B0182E">
            <w:pPr>
              <w:numPr>
                <w:ilvl w:val="0"/>
                <w:numId w:val="5"/>
              </w:numPr>
              <w:spacing w:after="57"/>
              <w:jc w:val="left"/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</w:pP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Kultura bezpečnosti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11" behindDoc="1" locked="0" layoutInCell="1" allowOverlap="1" wp14:anchorId="312E95DE" wp14:editId="633826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</w:p>
          <w:p w14:paraId="031B690F" w14:textId="352E5A91" w:rsidR="00AB60C5" w:rsidRPr="002A5DF6" w:rsidRDefault="00C0658A">
            <w:pPr>
              <w:spacing w:after="170"/>
              <w:ind w:left="85" w:right="0"/>
              <w:jc w:val="left"/>
              <w:rPr>
                <w:sz w:val="22"/>
                <w:szCs w:val="22"/>
              </w:rPr>
            </w:pPr>
            <w:r w:rsidRPr="002A5DF6">
              <w:rPr>
                <w:rStyle w:val="zsady"/>
                <w:sz w:val="22"/>
                <w:szCs w:val="22"/>
              </w:rPr>
              <w:t>Využívání s</w:t>
            </w:r>
            <w:r w:rsidR="00CB1834" w:rsidRPr="002A5DF6">
              <w:rPr>
                <w:rStyle w:val="zsady"/>
                <w:sz w:val="22"/>
                <w:szCs w:val="22"/>
              </w:rPr>
              <w:t>oubor</w:t>
            </w:r>
            <w:r w:rsidRPr="002A5DF6">
              <w:rPr>
                <w:rStyle w:val="zsady"/>
                <w:sz w:val="22"/>
                <w:szCs w:val="22"/>
              </w:rPr>
              <w:t>u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provázaných bezpečnostních aktiv systému řízení </w:t>
            </w:r>
            <w:r w:rsidRPr="002A5DF6">
              <w:rPr>
                <w:rStyle w:val="zsady"/>
                <w:sz w:val="22"/>
                <w:szCs w:val="22"/>
              </w:rPr>
              <w:t xml:space="preserve">zahrnující hluboké znalosti zákonitostí a faktorů ovlivňujících bezpečnost 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zaručuje vědomé chování úřadu </w:t>
            </w:r>
            <w:r w:rsidRPr="002A5DF6">
              <w:rPr>
                <w:rStyle w:val="zsady"/>
                <w:sz w:val="22"/>
                <w:szCs w:val="22"/>
              </w:rPr>
              <w:t xml:space="preserve">cílené </w:t>
            </w:r>
            <w:r w:rsidR="00CB1834" w:rsidRPr="002A5DF6">
              <w:rPr>
                <w:rStyle w:val="zsady"/>
                <w:sz w:val="22"/>
                <w:szCs w:val="22"/>
              </w:rPr>
              <w:t>na prosazování priority bezpečnosti navenek i dovnitř.</w:t>
            </w:r>
          </w:p>
          <w:p w14:paraId="4D9A270F" w14:textId="77777777" w:rsidR="00AB60C5" w:rsidRPr="002A5DF6" w:rsidRDefault="00CB1834" w:rsidP="00B0182E">
            <w:pPr>
              <w:keepNext/>
              <w:keepLines/>
              <w:numPr>
                <w:ilvl w:val="0"/>
                <w:numId w:val="5"/>
              </w:numPr>
              <w:spacing w:after="57"/>
              <w:rPr>
                <w:color w:val="FFFFFF" w:themeColor="background1"/>
                <w:sz w:val="22"/>
                <w:szCs w:val="22"/>
              </w:rPr>
            </w:pP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Řízení shody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15" behindDoc="1" locked="0" layoutInCell="1" allowOverlap="1" wp14:anchorId="7C2CAB14" wp14:editId="58AC265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7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</w:p>
          <w:p w14:paraId="50186B92" w14:textId="0FC91F41" w:rsidR="000C25DC" w:rsidRPr="002A5DF6" w:rsidRDefault="000C25DC">
            <w:pPr>
              <w:spacing w:after="170"/>
              <w:ind w:left="85" w:right="0"/>
              <w:jc w:val="left"/>
              <w:rPr>
                <w:sz w:val="22"/>
                <w:szCs w:val="22"/>
              </w:rPr>
            </w:pPr>
            <w:r w:rsidRPr="002A5DF6">
              <w:rPr>
                <w:sz w:val="22"/>
                <w:szCs w:val="22"/>
              </w:rPr>
              <w:t>Zakomponování procesu řízení shody do integrovaného systému řízení a jeho účinné provádění je zabezpečeno efektivním spolupůsobení iniciativ a kontrolních mechanismů podněcovaných a řízených jak centrálně, tak i na jednotlivých stupních řízení úřadu.</w:t>
            </w:r>
          </w:p>
          <w:p w14:paraId="05DDF3E0" w14:textId="0338D583" w:rsidR="00AB60C5" w:rsidRPr="002A5DF6" w:rsidRDefault="00CB1834" w:rsidP="00B0182E">
            <w:pPr>
              <w:keepNext/>
              <w:keepLines/>
              <w:numPr>
                <w:ilvl w:val="0"/>
                <w:numId w:val="5"/>
              </w:numPr>
              <w:spacing w:after="57"/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</w:pPr>
            <w:bookmarkStart w:id="4" w:name="__UnoMark__7518_418618685"/>
            <w:bookmarkEnd w:id="4"/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Lidé a znalosti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12" behindDoc="1" locked="0" layoutInCell="1" allowOverlap="1" wp14:anchorId="5F4785AF" wp14:editId="55E07F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</w:p>
          <w:p w14:paraId="1E94DB16" w14:textId="4FA59716" w:rsidR="00D77FB7" w:rsidRPr="009E6429" w:rsidRDefault="000C25DC" w:rsidP="00D77FB7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F6">
              <w:rPr>
                <w:rStyle w:val="zsady"/>
                <w:sz w:val="22"/>
                <w:szCs w:val="22"/>
              </w:rPr>
              <w:t>Systém v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zdělávání a </w:t>
            </w:r>
            <w:r w:rsidR="004A009E" w:rsidRPr="002A5DF6">
              <w:rPr>
                <w:rStyle w:val="zsady"/>
                <w:rFonts w:cs="Times New Roman"/>
                <w:sz w:val="22"/>
                <w:szCs w:val="22"/>
              </w:rPr>
              <w:t>řízení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znalostí </w:t>
            </w:r>
            <w:r w:rsidRPr="002A5DF6">
              <w:rPr>
                <w:rStyle w:val="zsady"/>
                <w:sz w:val="22"/>
                <w:szCs w:val="22"/>
              </w:rPr>
              <w:t>zajišťuje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odbornou způsobilost</w:t>
            </w:r>
            <w:r w:rsidRPr="002A5DF6">
              <w:rPr>
                <w:rStyle w:val="zsady"/>
                <w:sz w:val="22"/>
                <w:szCs w:val="22"/>
              </w:rPr>
              <w:t xml:space="preserve"> zaměstnanců a tím přispívá k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vysok</w:t>
            </w:r>
            <w:r w:rsidRPr="002A5DF6">
              <w:rPr>
                <w:rStyle w:val="zsady"/>
                <w:sz w:val="22"/>
                <w:szCs w:val="22"/>
              </w:rPr>
              <w:t>é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odborn</w:t>
            </w:r>
            <w:r w:rsidRPr="002A5DF6">
              <w:rPr>
                <w:rStyle w:val="zsady"/>
                <w:sz w:val="22"/>
                <w:szCs w:val="22"/>
              </w:rPr>
              <w:t>é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úrov</w:t>
            </w:r>
            <w:r w:rsidRPr="002A5DF6">
              <w:rPr>
                <w:rStyle w:val="zsady"/>
                <w:sz w:val="22"/>
                <w:szCs w:val="22"/>
              </w:rPr>
              <w:t>ni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a renomé úřadu.</w:t>
            </w:r>
            <w:r w:rsidR="00D77FB7" w:rsidRPr="009E6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EE19C7C" w14:textId="4F30D573" w:rsidR="00AB60C5" w:rsidRPr="002A5DF6" w:rsidRDefault="00D77FB7" w:rsidP="00046F42">
            <w:pPr>
              <w:ind w:left="85" w:right="0"/>
              <w:jc w:val="left"/>
              <w:rPr>
                <w:sz w:val="22"/>
                <w:szCs w:val="22"/>
              </w:rPr>
            </w:pPr>
            <w:r>
              <w:rPr>
                <w:rStyle w:val="zsady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14:paraId="203D1F29" w14:textId="77777777" w:rsidR="00AB60C5" w:rsidRPr="002A5DF6" w:rsidRDefault="00AB60C5">
            <w:pPr>
              <w:pStyle w:val="Obsahtabulky"/>
              <w:rPr>
                <w:sz w:val="22"/>
                <w:szCs w:val="22"/>
              </w:rPr>
            </w:pPr>
          </w:p>
        </w:tc>
        <w:tc>
          <w:tcPr>
            <w:tcW w:w="4764" w:type="dxa"/>
            <w:shd w:val="clear" w:color="auto" w:fill="auto"/>
          </w:tcPr>
          <w:p w14:paraId="63E120C3" w14:textId="77777777" w:rsidR="00AB60C5" w:rsidRPr="002A5DF6" w:rsidRDefault="00CB1834" w:rsidP="00B0182E">
            <w:pPr>
              <w:numPr>
                <w:ilvl w:val="0"/>
                <w:numId w:val="5"/>
              </w:numPr>
              <w:spacing w:after="57"/>
              <w:jc w:val="left"/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</w:pPr>
            <w:bookmarkStart w:id="5" w:name="__UnoMark__7600_418618685"/>
            <w:bookmarkEnd w:id="5"/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Integrovaný rámec systému řízení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7" behindDoc="1" locked="0" layoutInCell="1" allowOverlap="1" wp14:anchorId="208C793D" wp14:editId="4813CC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</w:p>
          <w:p w14:paraId="4EB2D3DF" w14:textId="1A5F520E" w:rsidR="00AB60C5" w:rsidRPr="002A5DF6" w:rsidRDefault="00CB1834">
            <w:pPr>
              <w:spacing w:after="170"/>
              <w:ind w:left="85" w:right="0"/>
              <w:jc w:val="left"/>
              <w:rPr>
                <w:rFonts w:eastAsia="Wingdings" w:cs="Wingdings"/>
                <w:sz w:val="22"/>
                <w:szCs w:val="22"/>
              </w:rPr>
            </w:pPr>
            <w:r w:rsidRPr="002A5DF6">
              <w:rPr>
                <w:rFonts w:eastAsia="Wingdings" w:cs="Wingdings"/>
                <w:sz w:val="22"/>
                <w:szCs w:val="22"/>
              </w:rPr>
              <w:t xml:space="preserve">Provázanost struktury řízení cílů, procesů, dokumentace a řízení bezpečnosti daná pravidly postavenými </w:t>
            </w:r>
            <w:r w:rsidR="000C25DC" w:rsidRPr="002A5DF6">
              <w:rPr>
                <w:rFonts w:eastAsia="Wingdings" w:cs="Wingdings"/>
                <w:sz w:val="22"/>
                <w:szCs w:val="22"/>
              </w:rPr>
              <w:t>na všech úrovních a ve všech částech úřadu</w:t>
            </w:r>
            <w:r w:rsidRPr="002A5DF6">
              <w:rPr>
                <w:rFonts w:eastAsia="Wingdings" w:cs="Wingdings"/>
                <w:sz w:val="22"/>
                <w:szCs w:val="22"/>
              </w:rPr>
              <w:t xml:space="preserve"> integruje systém </w:t>
            </w:r>
            <w:r w:rsidR="000C25DC" w:rsidRPr="002A5DF6">
              <w:rPr>
                <w:rFonts w:eastAsia="Wingdings" w:cs="Wingdings"/>
                <w:sz w:val="22"/>
                <w:szCs w:val="22"/>
              </w:rPr>
              <w:t xml:space="preserve">řízení </w:t>
            </w:r>
            <w:r w:rsidRPr="002A5DF6">
              <w:rPr>
                <w:rFonts w:eastAsia="Wingdings" w:cs="Wingdings"/>
                <w:sz w:val="22"/>
                <w:szCs w:val="22"/>
              </w:rPr>
              <w:t>do jednotného celku.</w:t>
            </w:r>
          </w:p>
          <w:p w14:paraId="3D76F598" w14:textId="77777777" w:rsidR="00AB60C5" w:rsidRPr="002A5DF6" w:rsidRDefault="00CB1834" w:rsidP="00B0182E">
            <w:pPr>
              <w:numPr>
                <w:ilvl w:val="0"/>
                <w:numId w:val="5"/>
              </w:numPr>
              <w:spacing w:after="57"/>
              <w:rPr>
                <w:color w:val="FFFFFF" w:themeColor="background1"/>
                <w:sz w:val="22"/>
                <w:szCs w:val="22"/>
              </w:rPr>
            </w:pPr>
            <w:bookmarkStart w:id="6" w:name="__UnoMark__7608_418618685"/>
            <w:bookmarkEnd w:id="6"/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C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8" behindDoc="1" locked="0" layoutInCell="1" allowOverlap="1" wp14:anchorId="3A95BB46" wp14:editId="1D3E522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1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shape_0" fillcolor="#001b4b" stroked="f" style="position:absolute;margin-left:0pt;margin-top:0pt;width:233.65pt;height:14.2pt;mso-position-vertical:top">
                      <w10:wrap type="none"/>
                      <v:fill color2="#ffe4b4" o:detectmouseclick="t"/>
                      <v:stroke color="#3465a4" joinstyle="round" endcap="flat"/>
                    </v:roundrect>
                  </w:pict>
                </mc:Fallback>
              </mc:AlternateContent>
            </w: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íle v systému řízení</w:t>
            </w:r>
          </w:p>
          <w:p w14:paraId="17B88B0F" w14:textId="6414E504" w:rsidR="00AB60C5" w:rsidRPr="002A5DF6" w:rsidRDefault="00CB1834" w:rsidP="004A009E">
            <w:pPr>
              <w:spacing w:after="170"/>
              <w:ind w:left="85" w:right="0"/>
              <w:jc w:val="left"/>
              <w:rPr>
                <w:sz w:val="22"/>
                <w:szCs w:val="22"/>
              </w:rPr>
            </w:pPr>
            <w:r w:rsidRPr="002A5DF6">
              <w:rPr>
                <w:sz w:val="22"/>
                <w:szCs w:val="22"/>
              </w:rPr>
              <w:t xml:space="preserve">Cíle </w:t>
            </w:r>
            <w:r w:rsidR="000C25DC" w:rsidRPr="002A5DF6">
              <w:rPr>
                <w:rStyle w:val="zsady"/>
                <w:sz w:val="22"/>
                <w:szCs w:val="22"/>
              </w:rPr>
              <w:t>určující</w:t>
            </w:r>
            <w:r w:rsidR="000C25DC" w:rsidRPr="002A5DF6">
              <w:rPr>
                <w:sz w:val="22"/>
                <w:szCs w:val="22"/>
              </w:rPr>
              <w:t xml:space="preserve"> </w:t>
            </w:r>
            <w:r w:rsidRPr="002A5DF6">
              <w:rPr>
                <w:sz w:val="22"/>
                <w:szCs w:val="22"/>
              </w:rPr>
              <w:t>správné směrování úřadu jsou nastaveny od dlouhodobé strategie až po jednotlivé procesy a jsou integrální součástí systému řízení.</w:t>
            </w:r>
          </w:p>
          <w:p w14:paraId="1DBB72D4" w14:textId="30251949" w:rsidR="00AB60C5" w:rsidRPr="002A5DF6" w:rsidRDefault="00CB1834" w:rsidP="00B0182E">
            <w:pPr>
              <w:keepNext/>
              <w:numPr>
                <w:ilvl w:val="0"/>
                <w:numId w:val="5"/>
              </w:numPr>
              <w:spacing w:after="57"/>
              <w:jc w:val="left"/>
              <w:rPr>
                <w:color w:val="FFFFFF" w:themeColor="background1"/>
                <w:sz w:val="22"/>
                <w:szCs w:val="22"/>
              </w:rPr>
            </w:pPr>
            <w:bookmarkStart w:id="7" w:name="__UnoMark__7618_418618685"/>
            <w:bookmarkEnd w:id="7"/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procesů</w:t>
            </w:r>
          </w:p>
          <w:p w14:paraId="6BCF9725" w14:textId="77777777" w:rsidR="002A5DF6" w:rsidRPr="002A5DF6" w:rsidRDefault="002A5DF6" w:rsidP="002A5DF6">
            <w:pPr>
              <w:keepNext/>
              <w:numPr>
                <w:ilvl w:val="0"/>
                <w:numId w:val="5"/>
              </w:numPr>
              <w:spacing w:after="57"/>
              <w:jc w:val="left"/>
              <w:rPr>
                <w:color w:val="FFFFFF" w:themeColor="background1"/>
                <w:sz w:val="22"/>
                <w:szCs w:val="22"/>
              </w:rPr>
            </w:pPr>
            <w:r w:rsidRPr="00046F42">
              <w:rPr>
                <w:rFonts w:eastAsia="Wingdings" w:cs="Wingdings"/>
                <w:b/>
                <w:bCs/>
                <w:color w:val="FFFFFF"/>
                <w:sz w:val="22"/>
                <w:szCs w:val="22"/>
              </w:rPr>
              <w:t>Hierarchie</w:t>
            </w:r>
            <w:r w:rsidRPr="00046F42">
              <w:rPr>
                <w:rFonts w:eastAsia="Wingdings" w:cs="Wingdings"/>
                <w:b/>
                <w:bCs/>
                <w:noProof/>
                <w:color w:val="FFFFFF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allowOverlap="1" wp14:anchorId="15E668AB" wp14:editId="434A364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16" name="Zaoblený obdélní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625" cy="18161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16" o:spid="_x0000_s1026" style="position:absolute;margin-left:0;margin-top:0;width:233.75pt;height:14.3pt;z-index:-251657216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arcsize="6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" fillcolor="#001b4b" stroked="f"/>
                  </w:pict>
                </mc:Fallback>
              </mc:AlternateContent>
            </w: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 xml:space="preserve"> procesů</w:t>
            </w:r>
          </w:p>
          <w:p w14:paraId="3B30E138" w14:textId="7726E37C" w:rsidR="00AB60C5" w:rsidRPr="002A5DF6" w:rsidRDefault="000C25DC">
            <w:pPr>
              <w:spacing w:after="170"/>
              <w:ind w:left="85" w:right="0"/>
              <w:jc w:val="left"/>
              <w:rPr>
                <w:sz w:val="22"/>
                <w:szCs w:val="22"/>
              </w:rPr>
            </w:pPr>
            <w:r w:rsidRPr="002A5DF6">
              <w:rPr>
                <w:rFonts w:eastAsia="Wingdings" w:cs="Wingdings"/>
                <w:sz w:val="22"/>
                <w:szCs w:val="22"/>
              </w:rPr>
              <w:t>Obecné p</w:t>
            </w:r>
            <w:r w:rsidR="00CB1834" w:rsidRPr="002A5DF6">
              <w:rPr>
                <w:rFonts w:eastAsia="Wingdings" w:cs="Wingdings"/>
                <w:sz w:val="22"/>
                <w:szCs w:val="22"/>
              </w:rPr>
              <w:t xml:space="preserve">rocesy </w:t>
            </w:r>
            <w:r w:rsidRPr="002A5DF6">
              <w:rPr>
                <w:rFonts w:eastAsia="Wingdings" w:cs="Wingdings"/>
                <w:sz w:val="22"/>
                <w:szCs w:val="22"/>
              </w:rPr>
              <w:t>platné pro</w:t>
            </w:r>
            <w:r w:rsidR="00CB1834" w:rsidRPr="002A5DF6">
              <w:rPr>
                <w:rFonts w:eastAsia="Wingdings" w:cs="Wingdings"/>
                <w:sz w:val="22"/>
                <w:szCs w:val="22"/>
              </w:rPr>
              <w:t xml:space="preserve"> cel</w:t>
            </w:r>
            <w:r w:rsidRPr="002A5DF6">
              <w:rPr>
                <w:rFonts w:eastAsia="Wingdings" w:cs="Wingdings"/>
                <w:sz w:val="22"/>
                <w:szCs w:val="22"/>
              </w:rPr>
              <w:t>ý</w:t>
            </w:r>
            <w:r w:rsidR="00CB1834" w:rsidRPr="002A5DF6">
              <w:rPr>
                <w:rFonts w:eastAsia="Wingdings" w:cs="Wingdings"/>
                <w:sz w:val="22"/>
                <w:szCs w:val="22"/>
              </w:rPr>
              <w:t xml:space="preserve"> úřad jsou zavedeny do procesní mapy a jejich dekompozicí jsou získávány dílčí procesy zpracované ve směrnicích.</w:t>
            </w:r>
          </w:p>
          <w:p w14:paraId="1A47CE94" w14:textId="77777777" w:rsidR="00046F42" w:rsidRDefault="00046F42" w:rsidP="004A009E">
            <w:pPr>
              <w:spacing w:after="170"/>
              <w:ind w:left="85" w:right="0"/>
              <w:jc w:val="left"/>
              <w:rPr>
                <w:sz w:val="22"/>
                <w:szCs w:val="22"/>
              </w:rPr>
            </w:pPr>
            <w:bookmarkStart w:id="8" w:name="__UnoMark__7644_418618685"/>
            <w:bookmarkEnd w:id="8"/>
          </w:p>
          <w:p w14:paraId="4CFAC222" w14:textId="77777777" w:rsidR="00046F42" w:rsidRPr="002A5DF6" w:rsidRDefault="00046F42" w:rsidP="00046F42">
            <w:pPr>
              <w:numPr>
                <w:ilvl w:val="0"/>
                <w:numId w:val="5"/>
              </w:numPr>
              <w:spacing w:after="57"/>
              <w:jc w:val="left"/>
              <w:rPr>
                <w:color w:val="FFFFFF" w:themeColor="background1"/>
                <w:sz w:val="22"/>
                <w:szCs w:val="22"/>
              </w:rPr>
            </w:pP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 xml:space="preserve">Struktura 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251661312" behindDoc="1" locked="0" layoutInCell="1" allowOverlap="1" wp14:anchorId="4AF675C8" wp14:editId="6C1154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12" name="Zaoblený obdélní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7840" cy="18108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12" o:spid="_x0000_s1026" style="position:absolute;margin-left:0;margin-top:0;width:233.75pt;height:14.3pt;z-index:-251655168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arcsize="6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" fillcolor="#001b4b" stroked="f"/>
                  </w:pict>
                </mc:Fallback>
              </mc:AlternateContent>
            </w: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dokumentace</w:t>
            </w:r>
          </w:p>
          <w:p w14:paraId="56AAD83A" w14:textId="7219754D" w:rsidR="00046F42" w:rsidRPr="00D77FB7" w:rsidRDefault="000C25DC" w:rsidP="00D77FB7">
            <w:pPr>
              <w:spacing w:after="170"/>
              <w:ind w:left="85" w:right="0"/>
              <w:jc w:val="left"/>
              <w:rPr>
                <w:rStyle w:val="zsady"/>
                <w:rFonts w:eastAsia="SimSun" w:cs="Lucida Sans"/>
                <w:sz w:val="22"/>
                <w:szCs w:val="22"/>
              </w:rPr>
            </w:pPr>
            <w:r w:rsidRPr="002A5DF6">
              <w:rPr>
                <w:sz w:val="22"/>
                <w:szCs w:val="22"/>
              </w:rPr>
              <w:t>Dokumentace integrovaného systému řízení je vytvořena způsobem od obecného ke konkrétnějšímu, s uvážením různorodosti procesů zajišťovaných v různých částech úřadu a odstupňovaně ve vazbě na významnost procesů</w:t>
            </w:r>
            <w:r w:rsidR="00E03C82">
              <w:rPr>
                <w:sz w:val="22"/>
                <w:szCs w:val="22"/>
              </w:rPr>
              <w:t>.</w:t>
            </w:r>
            <w:bookmarkStart w:id="9" w:name="__UnoMark__7658_418618685"/>
            <w:bookmarkEnd w:id="9"/>
          </w:p>
          <w:p w14:paraId="01710DB7" w14:textId="77777777" w:rsidR="00D77FB7" w:rsidRDefault="00D77FB7" w:rsidP="000C25DC">
            <w:pPr>
              <w:ind w:left="85" w:right="0"/>
              <w:jc w:val="left"/>
              <w:rPr>
                <w:rStyle w:val="zsady"/>
                <w:sz w:val="22"/>
                <w:szCs w:val="22"/>
              </w:rPr>
            </w:pPr>
          </w:p>
          <w:p w14:paraId="37900E21" w14:textId="77777777" w:rsidR="00D77FB7" w:rsidRPr="002A5DF6" w:rsidRDefault="00D77FB7" w:rsidP="00D77FB7">
            <w:pPr>
              <w:keepNext/>
              <w:keepLines/>
              <w:numPr>
                <w:ilvl w:val="0"/>
                <w:numId w:val="5"/>
              </w:numPr>
              <w:spacing w:after="57"/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</w:pPr>
            <w:r w:rsidRPr="002A5DF6">
              <w:rPr>
                <w:rFonts w:eastAsia="Wingdings" w:cs="Wingdings"/>
                <w:b/>
                <w:bCs/>
                <w:color w:val="FFFFFF" w:themeColor="background1"/>
                <w:sz w:val="22"/>
                <w:szCs w:val="22"/>
              </w:rPr>
              <w:t>Zpětné vazby a zlepšování</w:t>
            </w:r>
            <w:r w:rsidRPr="002A5DF6">
              <w:rPr>
                <w:rFonts w:eastAsia="Wingdings" w:cs="Wingdings"/>
                <w:b/>
                <w:bCs/>
                <w:noProof/>
                <w:color w:val="FFFFFF" w:themeColor="background1"/>
                <w:sz w:val="22"/>
                <w:szCs w:val="22"/>
                <w:lang w:eastAsia="cs-CZ" w:bidi="ar-SA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2C7ACD13" wp14:editId="7E1A17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align>top</wp:align>
                      </wp:positionV>
                      <wp:extent cx="2968625" cy="181610"/>
                      <wp:effectExtent l="0" t="0" r="0" b="0"/>
                      <wp:wrapNone/>
                      <wp:docPr id="13" name="Zaoblený 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8625" cy="181610"/>
                              </a:xfrm>
                              <a:prstGeom prst="roundRect">
                                <a:avLst>
                                  <a:gd name="adj" fmla="val 10120"/>
                                </a:avLst>
                              </a:prstGeom>
                              <a:solidFill>
                                <a:srgbClr val="001B4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Zaoblený obdélník 13" o:spid="_x0000_s1026" style="position:absolute;margin-left:0;margin-top:0;width:233.75pt;height:14.3pt;z-index:-251653120;visibility:visible;mso-wrap-style:square;mso-wrap-distance-left:0;mso-wrap-distance-top:0;mso-wrap-distance-right:0;mso-wrap-distance-bottom:0;mso-position-horizontal:absolute;mso-position-horizontal-relative:text;mso-position-vertical:top;mso-position-vertical-relative:text;v-text-anchor:top" arcsize="66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" fillcolor="#001b4b" stroked="f"/>
                  </w:pict>
                </mc:Fallback>
              </mc:AlternateContent>
            </w:r>
          </w:p>
          <w:p w14:paraId="76FD440E" w14:textId="4279EB47" w:rsidR="00AB60C5" w:rsidRDefault="000C25DC" w:rsidP="000C25DC">
            <w:pPr>
              <w:ind w:left="85" w:right="0"/>
              <w:jc w:val="left"/>
              <w:rPr>
                <w:rStyle w:val="zsady"/>
                <w:sz w:val="22"/>
                <w:szCs w:val="22"/>
              </w:rPr>
            </w:pPr>
            <w:r w:rsidRPr="002A5DF6">
              <w:rPr>
                <w:rStyle w:val="zsady"/>
                <w:sz w:val="22"/>
                <w:szCs w:val="22"/>
              </w:rPr>
              <w:t>Otevřeno</w:t>
            </w:r>
            <w:r w:rsidR="00E03C82">
              <w:rPr>
                <w:rStyle w:val="zsady"/>
                <w:sz w:val="22"/>
                <w:szCs w:val="22"/>
              </w:rPr>
              <w:t>st</w:t>
            </w:r>
            <w:r w:rsidRPr="002A5DF6">
              <w:rPr>
                <w:rStyle w:val="zsady"/>
                <w:sz w:val="22"/>
                <w:szCs w:val="22"/>
              </w:rPr>
              <w:t xml:space="preserve"> podnětům</w:t>
            </w:r>
            <w:r w:rsidR="00CB1834" w:rsidRPr="002A5DF6">
              <w:rPr>
                <w:rStyle w:val="zsady"/>
                <w:sz w:val="22"/>
                <w:szCs w:val="22"/>
              </w:rPr>
              <w:t xml:space="preserve"> zainteresovaných stran a vyhodnocování systému řízení v kontrolních bodech umožňují </w:t>
            </w:r>
            <w:r w:rsidRPr="002A5DF6">
              <w:rPr>
                <w:rStyle w:val="zsady"/>
                <w:sz w:val="22"/>
                <w:szCs w:val="22"/>
              </w:rPr>
              <w:t xml:space="preserve">trvalý </w:t>
            </w:r>
            <w:r w:rsidR="00CB1834" w:rsidRPr="002A5DF6">
              <w:rPr>
                <w:rStyle w:val="zsady"/>
                <w:sz w:val="22"/>
                <w:szCs w:val="22"/>
              </w:rPr>
              <w:t>rozvoj systému a jeho udržitelnost.</w:t>
            </w:r>
          </w:p>
          <w:p w14:paraId="0C6F9C4C" w14:textId="260A4393" w:rsidR="002A5DF6" w:rsidRPr="002A5DF6" w:rsidRDefault="002A5DF6" w:rsidP="000C25DC">
            <w:pPr>
              <w:ind w:left="85" w:right="0"/>
              <w:jc w:val="left"/>
              <w:rPr>
                <w:sz w:val="22"/>
                <w:szCs w:val="22"/>
              </w:rPr>
            </w:pPr>
          </w:p>
        </w:tc>
      </w:tr>
    </w:tbl>
    <w:p w14:paraId="4B316E13" w14:textId="2706AE14" w:rsidR="00AB60C5" w:rsidRPr="009E6429" w:rsidRDefault="00AB60C5" w:rsidP="00D77FB7">
      <w:pPr>
        <w:suppressAutoHyphens w:val="0"/>
        <w:rPr>
          <w:rFonts w:ascii="Times New Roman" w:hAnsi="Times New Roman" w:cs="Times New Roman"/>
          <w:sz w:val="16"/>
          <w:szCs w:val="16"/>
        </w:rPr>
      </w:pPr>
    </w:p>
    <w:sectPr w:rsidR="00AB60C5" w:rsidRPr="009E6429" w:rsidSect="009E642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253" w:right="1134" w:bottom="1418" w:left="1701" w:header="680" w:footer="68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93686" w14:textId="77777777" w:rsidR="007422BF" w:rsidRDefault="007422BF">
      <w:r>
        <w:separator/>
      </w:r>
    </w:p>
  </w:endnote>
  <w:endnote w:type="continuationSeparator" w:id="0">
    <w:p w14:paraId="21A8896D" w14:textId="77777777" w:rsidR="007422BF" w:rsidRDefault="0074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AAFBB" w14:textId="77777777" w:rsidR="007422BF" w:rsidRDefault="007422BF" w:rsidP="007422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1F3F34" w14:textId="77777777" w:rsidR="007422BF" w:rsidRDefault="007422BF" w:rsidP="007422B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68697"/>
      <w:docPartObj>
        <w:docPartGallery w:val="Page Numbers (Bottom of Page)"/>
        <w:docPartUnique/>
      </w:docPartObj>
    </w:sdtPr>
    <w:sdtEndPr/>
    <w:sdtContent>
      <w:p w14:paraId="0186B742" w14:textId="7CC62782" w:rsidR="00D75B26" w:rsidRDefault="00D75B26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51">
          <w:rPr>
            <w:noProof/>
          </w:rPr>
          <w:t>2</w:t>
        </w:r>
        <w:r>
          <w:fldChar w:fldCharType="end"/>
        </w:r>
      </w:p>
    </w:sdtContent>
  </w:sdt>
  <w:p w14:paraId="5556617A" w14:textId="6A81682F" w:rsidR="007422BF" w:rsidRPr="007422BF" w:rsidRDefault="007422BF" w:rsidP="009E6429">
    <w:pPr>
      <w:pStyle w:val="Zpat1"/>
      <w:ind w:left="-737" w:right="360"/>
      <w:jc w:val="left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8BFDB" w14:textId="6F09BCDA" w:rsidR="007422BF" w:rsidRPr="007422BF" w:rsidRDefault="007422BF">
    <w:pPr>
      <w:pStyle w:val="Zpat"/>
      <w:rPr>
        <w:rFonts w:cs="Times New Roman"/>
        <w:sz w:val="20"/>
        <w:szCs w:val="20"/>
      </w:rPr>
    </w:pPr>
    <w:r w:rsidRPr="007422BF">
      <w:rPr>
        <w:rFonts w:cs="Times New Roman"/>
        <w:sz w:val="20"/>
        <w:szCs w:val="20"/>
      </w:rPr>
      <w:t>VDK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7A9BF5" w14:textId="77777777" w:rsidR="007422BF" w:rsidRDefault="007422BF">
      <w:r>
        <w:separator/>
      </w:r>
    </w:p>
  </w:footnote>
  <w:footnote w:type="continuationSeparator" w:id="0">
    <w:p w14:paraId="7BE50BC4" w14:textId="77777777" w:rsidR="007422BF" w:rsidRDefault="00742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5C4D8" w14:textId="4E7CE698" w:rsidR="007422BF" w:rsidRDefault="007422BF">
    <w:pPr>
      <w:pStyle w:val="Zhlav"/>
    </w:pPr>
    <w:r>
      <w:rPr>
        <w:noProof/>
        <w:lang w:eastAsia="cs-CZ" w:bidi="ar-SA"/>
      </w:rPr>
      <w:drawing>
        <wp:anchor distT="0" distB="0" distL="0" distR="0" simplePos="0" relativeHeight="251659264" behindDoc="0" locked="0" layoutInCell="1" allowOverlap="1" wp14:anchorId="28A723D2" wp14:editId="2F15F785">
          <wp:simplePos x="0" y="0"/>
          <wp:positionH relativeFrom="page">
            <wp:posOffset>288290</wp:posOffset>
          </wp:positionH>
          <wp:positionV relativeFrom="page">
            <wp:posOffset>253365</wp:posOffset>
          </wp:positionV>
          <wp:extent cx="7258050" cy="53657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15D0"/>
    <w:multiLevelType w:val="multilevel"/>
    <w:tmpl w:val="DE284CA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ascii="Arial Black" w:hAnsi="Arial Black" w:cs="Arial Black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417A88"/>
    <w:multiLevelType w:val="multilevel"/>
    <w:tmpl w:val="233E68E6"/>
    <w:lvl w:ilvl="0">
      <w:start w:val="1"/>
      <w:numFmt w:val="bullet"/>
      <w:suff w:val="space"/>
      <w:lvlText w:val=""/>
      <w:lvlJc w:val="left"/>
      <w:pPr>
        <w:ind w:left="312" w:hanging="312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C4A0723"/>
    <w:multiLevelType w:val="multilevel"/>
    <w:tmpl w:val="1F6CD78C"/>
    <w:lvl w:ilvl="0">
      <w:start w:val="1"/>
      <w:numFmt w:val="bullet"/>
      <w:suff w:val="space"/>
      <w:lvlText w:val=""/>
      <w:lvlJc w:val="left"/>
      <w:pPr>
        <w:ind w:left="312" w:hanging="199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E3B6085"/>
    <w:multiLevelType w:val="multilevel"/>
    <w:tmpl w:val="536CD2D0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2FA62AD"/>
    <w:multiLevelType w:val="multilevel"/>
    <w:tmpl w:val="233E68E6"/>
    <w:lvl w:ilvl="0">
      <w:start w:val="1"/>
      <w:numFmt w:val="bullet"/>
      <w:suff w:val="space"/>
      <w:lvlText w:val=""/>
      <w:lvlJc w:val="left"/>
      <w:pPr>
        <w:ind w:left="312" w:hanging="312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C5"/>
    <w:rsid w:val="00046F42"/>
    <w:rsid w:val="0007290D"/>
    <w:rsid w:val="00086589"/>
    <w:rsid w:val="00092624"/>
    <w:rsid w:val="000975E8"/>
    <w:rsid w:val="000C25DC"/>
    <w:rsid w:val="000F0639"/>
    <w:rsid w:val="001379AD"/>
    <w:rsid w:val="001537E1"/>
    <w:rsid w:val="00171F32"/>
    <w:rsid w:val="00191851"/>
    <w:rsid w:val="00194581"/>
    <w:rsid w:val="002730AC"/>
    <w:rsid w:val="002A5DF6"/>
    <w:rsid w:val="003147A7"/>
    <w:rsid w:val="00367E79"/>
    <w:rsid w:val="00380D2F"/>
    <w:rsid w:val="003D5533"/>
    <w:rsid w:val="0042455A"/>
    <w:rsid w:val="00425828"/>
    <w:rsid w:val="004A009E"/>
    <w:rsid w:val="00566C15"/>
    <w:rsid w:val="005D6950"/>
    <w:rsid w:val="00656E00"/>
    <w:rsid w:val="006860B1"/>
    <w:rsid w:val="007245EC"/>
    <w:rsid w:val="0073240E"/>
    <w:rsid w:val="00740B9E"/>
    <w:rsid w:val="007422BF"/>
    <w:rsid w:val="007B47D8"/>
    <w:rsid w:val="007D48D9"/>
    <w:rsid w:val="00835D04"/>
    <w:rsid w:val="00973DE6"/>
    <w:rsid w:val="009E6429"/>
    <w:rsid w:val="00A4732E"/>
    <w:rsid w:val="00AB60C5"/>
    <w:rsid w:val="00AE5624"/>
    <w:rsid w:val="00B0182E"/>
    <w:rsid w:val="00B37BD5"/>
    <w:rsid w:val="00B731D2"/>
    <w:rsid w:val="00BA0AA7"/>
    <w:rsid w:val="00BD5CF7"/>
    <w:rsid w:val="00C0658A"/>
    <w:rsid w:val="00C425B6"/>
    <w:rsid w:val="00C55695"/>
    <w:rsid w:val="00C676EE"/>
    <w:rsid w:val="00CB1834"/>
    <w:rsid w:val="00D05840"/>
    <w:rsid w:val="00D75B26"/>
    <w:rsid w:val="00D77FB7"/>
    <w:rsid w:val="00E03C82"/>
    <w:rsid w:val="00F66FA0"/>
    <w:rsid w:val="00FB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DB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Lucida Sans"/>
        <w:sz w:val="2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ind w:right="170"/>
      <w:jc w:val="both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sady">
    <w:name w:val="zásady"/>
    <w:rsid w:val="004A009E"/>
    <w:rPr>
      <w:rFonts w:eastAsia="Wingdings"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ascii="Arial" w:hAnsi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ascii="Arial" w:hAnsi="Arial"/>
      <w:sz w:val="20"/>
    </w:rPr>
  </w:style>
  <w:style w:type="paragraph" w:customStyle="1" w:styleId="Zhlav1">
    <w:name w:val="Záhlaví1"/>
    <w:basedOn w:val="Norml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customStyle="1" w:styleId="Nzev1">
    <w:name w:val="Název1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  <w:jc w:val="left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asady">
    <w:name w:val="Zasady"/>
    <w:basedOn w:val="Normln"/>
    <w:next w:val="Normln"/>
    <w:pPr>
      <w:ind w:right="0"/>
      <w:jc w:val="left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unhideWhenUsed/>
    <w:rsid w:val="00CB183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834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CB183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834"/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B9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9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42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Lucida Sans"/>
        <w:sz w:val="22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widowControl w:val="0"/>
      <w:suppressAutoHyphens/>
      <w:ind w:right="170"/>
      <w:jc w:val="both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"/>
    <w:next w:val="Tlotextu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Nadpis21">
    <w:name w:val="Nadpis 21"/>
    <w:basedOn w:val="Nadpis"/>
    <w:next w:val="Tlotextu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Nadpis31">
    <w:name w:val="Nadpis 31"/>
    <w:basedOn w:val="Nadpis"/>
    <w:next w:val="Tlotextu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oslovn">
    <w:name w:val="Symboly pro číslování"/>
  </w:style>
  <w:style w:type="character" w:customStyle="1" w:styleId="zsady">
    <w:name w:val="zásady"/>
    <w:rsid w:val="004A009E"/>
    <w:rPr>
      <w:rFonts w:eastAsia="Wingdings" w:cs="Wingdings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customStyle="1" w:styleId="Seznam1">
    <w:name w:val="Seznam1"/>
    <w:basedOn w:val="Tlotextu"/>
    <w:rPr>
      <w:rFonts w:ascii="Arial" w:hAnsi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Rejstk">
    <w:name w:val="Rejstřík"/>
    <w:basedOn w:val="Normln"/>
    <w:pPr>
      <w:suppressLineNumbers/>
    </w:pPr>
    <w:rPr>
      <w:rFonts w:ascii="Arial" w:hAnsi="Arial"/>
      <w:sz w:val="20"/>
    </w:rPr>
  </w:style>
  <w:style w:type="paragraph" w:customStyle="1" w:styleId="Zhlav1">
    <w:name w:val="Záhlaví1"/>
    <w:basedOn w:val="Normln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pat1">
    <w:name w:val="Zápatí1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customStyle="1" w:styleId="Nzev1">
    <w:name w:val="Název1"/>
    <w:basedOn w:val="Nadpis"/>
    <w:next w:val="Tlotextu"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next w:val="Tlotextu"/>
    <w:pPr>
      <w:spacing w:before="60"/>
      <w:jc w:val="center"/>
    </w:pPr>
    <w:rPr>
      <w:sz w:val="36"/>
      <w:szCs w:val="36"/>
    </w:rPr>
  </w:style>
  <w:style w:type="paragraph" w:customStyle="1" w:styleId="Obsahtabulky">
    <w:name w:val="Obsah tabulky"/>
    <w:basedOn w:val="Normln"/>
    <w:qFormat/>
    <w:pPr>
      <w:suppressLineNumbers/>
      <w:jc w:val="left"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Zasady">
    <w:name w:val="Zasady"/>
    <w:basedOn w:val="Normln"/>
    <w:next w:val="Normln"/>
    <w:pPr>
      <w:ind w:right="0"/>
      <w:jc w:val="left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hlav">
    <w:name w:val="header"/>
    <w:basedOn w:val="Normln"/>
    <w:link w:val="ZhlavChar"/>
    <w:uiPriority w:val="99"/>
    <w:unhideWhenUsed/>
    <w:rsid w:val="00CB1834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1834"/>
    <w:rPr>
      <w:rFonts w:ascii="Calibri" w:hAnsi="Calibri"/>
      <w:sz w:val="24"/>
    </w:rPr>
  </w:style>
  <w:style w:type="paragraph" w:styleId="Zpat">
    <w:name w:val="footer"/>
    <w:basedOn w:val="Normln"/>
    <w:link w:val="ZpatChar"/>
    <w:uiPriority w:val="99"/>
    <w:unhideWhenUsed/>
    <w:rsid w:val="00CB1834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1834"/>
    <w:rPr>
      <w:rFonts w:ascii="Calibri" w:hAnsi="Calibri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0B9E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B9E"/>
    <w:rPr>
      <w:rFonts w:ascii="Lucida Grande CE" w:hAnsi="Lucida Grande CE" w:cs="Lucida Grande C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42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03F0E3-DB5D-4D62-A1E6-885243BC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Leflerová Miroslava</dc:creator>
  <cp:lastModifiedBy>Leflerová Miroslava</cp:lastModifiedBy>
  <cp:revision>7</cp:revision>
  <cp:lastPrinted>2015-04-01T13:13:00Z</cp:lastPrinted>
  <dcterms:created xsi:type="dcterms:W3CDTF">2015-09-02T07:33:00Z</dcterms:created>
  <dcterms:modified xsi:type="dcterms:W3CDTF">2015-09-02T08:20:00Z</dcterms:modified>
  <dc:language>cs-CZ</dc:language>
</cp:coreProperties>
</file>