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378AD" w:rsidTr="008A7626">
        <w:tc>
          <w:tcPr>
            <w:tcW w:w="9212" w:type="dxa"/>
            <w:shd w:val="clear" w:color="auto" w:fill="FFFF61"/>
          </w:tcPr>
          <w:p w:rsidR="00F378AD" w:rsidRPr="00F378AD" w:rsidRDefault="00F378AD" w:rsidP="00035D27">
            <w:pPr>
              <w:spacing w:before="240" w:after="100" w:afterAutospacing="1"/>
              <w:jc w:val="center"/>
              <w:rPr>
                <w:rFonts w:ascii="Times New Roman" w:hAnsi="Times New Roman" w:cs="Times New Roman"/>
                <w:b/>
                <w:sz w:val="32"/>
                <w:szCs w:val="32"/>
              </w:rPr>
            </w:pPr>
            <w:r w:rsidRPr="00B73BD7">
              <w:rPr>
                <w:rFonts w:ascii="Times New Roman" w:hAnsi="Times New Roman" w:cs="Times New Roman"/>
                <w:b/>
                <w:sz w:val="32"/>
                <w:szCs w:val="32"/>
              </w:rPr>
              <w:t>Politika systému řízení Státního úřadu pro jadernou bezpečnost</w:t>
            </w:r>
          </w:p>
        </w:tc>
      </w:tr>
      <w:tr w:rsidR="00F378AD" w:rsidTr="008A7626">
        <w:tc>
          <w:tcPr>
            <w:tcW w:w="9212" w:type="dxa"/>
            <w:shd w:val="clear" w:color="auto" w:fill="FFFF61"/>
          </w:tcPr>
          <w:p w:rsidR="00F378AD" w:rsidRPr="00F378AD" w:rsidRDefault="00F378AD" w:rsidP="00035D27">
            <w:pPr>
              <w:spacing w:before="240" w:after="100" w:afterAutospacing="1"/>
              <w:jc w:val="both"/>
              <w:rPr>
                <w:rFonts w:ascii="Times New Roman" w:hAnsi="Times New Roman" w:cs="Times New Roman"/>
                <w:b/>
                <w:bCs/>
                <w:sz w:val="24"/>
                <w:szCs w:val="24"/>
              </w:rPr>
            </w:pPr>
            <w:r w:rsidRPr="00B73BD7">
              <w:rPr>
                <w:rFonts w:ascii="Times New Roman" w:hAnsi="Times New Roman" w:cs="Times New Roman"/>
                <w:b/>
                <w:sz w:val="24"/>
                <w:szCs w:val="24"/>
              </w:rPr>
              <w:t>Posláním Státního úřadu pro ja</w:t>
            </w:r>
            <w:r>
              <w:rPr>
                <w:rFonts w:ascii="Times New Roman" w:hAnsi="Times New Roman" w:cs="Times New Roman"/>
                <w:b/>
                <w:sz w:val="24"/>
                <w:szCs w:val="24"/>
              </w:rPr>
              <w:t>dernou bezpečnost (dále „Úřad“)</w:t>
            </w:r>
            <w:r w:rsidRPr="00B73BD7">
              <w:rPr>
                <w:rFonts w:ascii="Times New Roman" w:hAnsi="Times New Roman" w:cs="Times New Roman"/>
                <w:b/>
                <w:sz w:val="24"/>
                <w:szCs w:val="24"/>
              </w:rPr>
              <w:t xml:space="preserve"> je výkon státní správy </w:t>
            </w:r>
            <w:r w:rsidRPr="00B73BD7">
              <w:rPr>
                <w:rFonts w:ascii="Times New Roman" w:hAnsi="Times New Roman" w:cs="Times New Roman"/>
                <w:b/>
                <w:sz w:val="24"/>
                <w:szCs w:val="24"/>
              </w:rPr>
              <w:br/>
              <w:t xml:space="preserve">a dozoru při využívání jaderné energie a ionizujícího záření </w:t>
            </w:r>
            <w:r w:rsidRPr="00B73BD7">
              <w:rPr>
                <w:rFonts w:ascii="Times New Roman" w:hAnsi="Times New Roman" w:cs="Times New Roman"/>
                <w:b/>
                <w:bCs/>
                <w:sz w:val="24"/>
                <w:szCs w:val="24"/>
              </w:rPr>
              <w:t>takov</w:t>
            </w:r>
            <w:bookmarkStart w:id="0" w:name="_GoBack"/>
            <w:bookmarkEnd w:id="0"/>
            <w:r w:rsidRPr="00B73BD7">
              <w:rPr>
                <w:rFonts w:ascii="Times New Roman" w:hAnsi="Times New Roman" w:cs="Times New Roman"/>
                <w:b/>
                <w:bCs/>
                <w:sz w:val="24"/>
                <w:szCs w:val="24"/>
              </w:rPr>
              <w:t>ým způsobem, aby byla zajištěna co nejvyšší ochrana jednotlivce, společnosti a životního prostředí před možnými nežádoucími účinky ionizujícího záření.</w:t>
            </w:r>
          </w:p>
        </w:tc>
      </w:tr>
      <w:tr w:rsidR="00F378AD" w:rsidTr="008A7626">
        <w:tc>
          <w:tcPr>
            <w:tcW w:w="9212" w:type="dxa"/>
            <w:shd w:val="clear" w:color="auto" w:fill="FFFF61"/>
          </w:tcPr>
          <w:p w:rsidR="00F378AD" w:rsidRPr="00F378AD" w:rsidRDefault="00F378AD" w:rsidP="00035D27">
            <w:pPr>
              <w:spacing w:before="240" w:after="100" w:afterAutospacing="1"/>
              <w:jc w:val="both"/>
              <w:rPr>
                <w:rFonts w:ascii="Times New Roman" w:hAnsi="Times New Roman" w:cs="Times New Roman"/>
                <w:b/>
                <w:sz w:val="24"/>
                <w:szCs w:val="24"/>
              </w:rPr>
            </w:pPr>
            <w:r w:rsidRPr="00B73BD7">
              <w:rPr>
                <w:rFonts w:ascii="Times New Roman" w:hAnsi="Times New Roman" w:cs="Times New Roman"/>
                <w:b/>
                <w:sz w:val="24"/>
                <w:szCs w:val="24"/>
              </w:rPr>
              <w:t>Úřad chce být úřadem hájícím veřejný zájem v oblastech své působnosti, zaručujícím nezávislý a nestranný dozor, garantujícím otevřené a korektní jednání a účelné hospodaření se svěřenými prostředky tak, aby byla adekvátně regulována zejména rizika související s využíváním jaderných technologií a zdrojů ionizujícího záření ve všech oblastech lidské činnosti.</w:t>
            </w:r>
          </w:p>
        </w:tc>
      </w:tr>
      <w:tr w:rsidR="00F378AD" w:rsidTr="005E613F">
        <w:tc>
          <w:tcPr>
            <w:tcW w:w="9212" w:type="dxa"/>
            <w:shd w:val="clear" w:color="auto" w:fill="B4D5FA"/>
          </w:tcPr>
          <w:p w:rsidR="00F378AD" w:rsidRPr="00B73BD7" w:rsidRDefault="00F378AD" w:rsidP="00035D27">
            <w:pPr>
              <w:pStyle w:val="Odstavecseseznamem"/>
              <w:numPr>
                <w:ilvl w:val="0"/>
                <w:numId w:val="1"/>
              </w:numPr>
              <w:spacing w:before="240" w:after="100" w:afterAutospacing="1"/>
              <w:ind w:left="284" w:hanging="284"/>
              <w:jc w:val="both"/>
              <w:rPr>
                <w:rFonts w:ascii="Times New Roman" w:hAnsi="Times New Roman" w:cs="Times New Roman"/>
                <w:b/>
                <w:sz w:val="24"/>
                <w:szCs w:val="24"/>
              </w:rPr>
            </w:pPr>
            <w:r w:rsidRPr="00B73BD7">
              <w:rPr>
                <w:rFonts w:ascii="Times New Roman" w:hAnsi="Times New Roman" w:cs="Times New Roman"/>
                <w:b/>
                <w:sz w:val="24"/>
                <w:szCs w:val="24"/>
              </w:rPr>
              <w:t>Odpovědnost při výkonu dozorné činnosti</w:t>
            </w:r>
          </w:p>
          <w:p w:rsidR="00F378AD" w:rsidRPr="00F378AD" w:rsidRDefault="00F378AD" w:rsidP="00035D27">
            <w:pPr>
              <w:spacing w:before="240" w:after="100" w:afterAutospacing="1"/>
              <w:jc w:val="both"/>
              <w:rPr>
                <w:rFonts w:ascii="Times New Roman" w:hAnsi="Times New Roman" w:cs="Times New Roman"/>
                <w:sz w:val="24"/>
                <w:szCs w:val="24"/>
              </w:rPr>
            </w:pPr>
            <w:r w:rsidRPr="00B73BD7">
              <w:rPr>
                <w:rFonts w:ascii="Times New Roman" w:hAnsi="Times New Roman" w:cs="Times New Roman"/>
                <w:sz w:val="24"/>
                <w:szCs w:val="24"/>
              </w:rPr>
              <w:t>Úřad jedná v rámci své působnosti podle právních předpisů České republiky, řídí se usneseními vlády, která se dotýkají jeho činnosti, a postupuje nezávisle, v souladu s mezinárodními principy regulace využívání jaderné energie a ionizujícího záření. Při zajišťování regulace využívání jaderných technologií a ionizujícího záření je vždy prvořadé zajištění bezpečnosti dozorovaných činností, a to přednostně před ostatními požadavky. V činnosti dozorovaných osob i Úřadu je prosazován princip kultury bezpečnosti.</w:t>
            </w:r>
          </w:p>
        </w:tc>
      </w:tr>
      <w:tr w:rsidR="00F378AD" w:rsidTr="005E613F">
        <w:tc>
          <w:tcPr>
            <w:tcW w:w="9212" w:type="dxa"/>
            <w:shd w:val="clear" w:color="auto" w:fill="F7E4C9"/>
          </w:tcPr>
          <w:p w:rsidR="00F378AD" w:rsidRPr="00B73BD7" w:rsidRDefault="00F378AD" w:rsidP="00035D27">
            <w:pPr>
              <w:pStyle w:val="Odstavecseseznamem"/>
              <w:numPr>
                <w:ilvl w:val="0"/>
                <w:numId w:val="1"/>
              </w:numPr>
              <w:spacing w:before="240" w:after="100" w:afterAutospacing="1"/>
              <w:ind w:left="284" w:hanging="284"/>
              <w:jc w:val="both"/>
              <w:rPr>
                <w:rFonts w:ascii="Times New Roman" w:hAnsi="Times New Roman" w:cs="Times New Roman"/>
                <w:b/>
                <w:sz w:val="24"/>
                <w:szCs w:val="24"/>
              </w:rPr>
            </w:pPr>
            <w:r w:rsidRPr="00B73BD7">
              <w:rPr>
                <w:rFonts w:ascii="Times New Roman" w:hAnsi="Times New Roman" w:cs="Times New Roman"/>
                <w:b/>
                <w:sz w:val="24"/>
                <w:szCs w:val="24"/>
              </w:rPr>
              <w:t>Zavedení systému řízení</w:t>
            </w:r>
          </w:p>
          <w:p w:rsidR="00F378AD" w:rsidRPr="00F378AD" w:rsidRDefault="00F378AD" w:rsidP="00035D27">
            <w:pPr>
              <w:spacing w:before="240" w:after="100" w:afterAutospacing="1"/>
              <w:jc w:val="both"/>
              <w:rPr>
                <w:rFonts w:ascii="Times New Roman" w:hAnsi="Times New Roman" w:cs="Times New Roman"/>
                <w:sz w:val="24"/>
                <w:szCs w:val="24"/>
              </w:rPr>
            </w:pPr>
            <w:r w:rsidRPr="00B73BD7">
              <w:rPr>
                <w:rFonts w:ascii="Times New Roman" w:hAnsi="Times New Roman" w:cs="Times New Roman"/>
                <w:sz w:val="24"/>
                <w:szCs w:val="24"/>
              </w:rPr>
              <w:t>Úřad má zaveden systém řízení, který jednoznačně a precizně stanoví odpovědnosti. Smyslem zavedení systému řízení je zvyšování účinnosti práce v rámci všech Úřadu svěřených pravomocí a uložených povinností, směřujících především k</w:t>
            </w:r>
            <w:r w:rsidRPr="00B73BD7">
              <w:t xml:space="preserve"> </w:t>
            </w:r>
            <w:r w:rsidRPr="00B73BD7">
              <w:rPr>
                <w:rFonts w:ascii="Times New Roman" w:hAnsi="Times New Roman" w:cs="Times New Roman"/>
                <w:sz w:val="24"/>
                <w:szCs w:val="24"/>
              </w:rPr>
              <w:t>ochraně jednotlivce, společnosti a životního prostředí před možnými škodlivými účinky ionizujícího záření, nešíření jaderných zbraní a kontrole zákazu ch</w:t>
            </w:r>
            <w:r>
              <w:rPr>
                <w:rFonts w:ascii="Times New Roman" w:hAnsi="Times New Roman" w:cs="Times New Roman"/>
                <w:sz w:val="24"/>
                <w:szCs w:val="24"/>
              </w:rPr>
              <w:t>emických a biologických zbraní.</w:t>
            </w:r>
            <w:r w:rsidRPr="00B73BD7">
              <w:rPr>
                <w:rFonts w:ascii="Times New Roman" w:hAnsi="Times New Roman" w:cs="Times New Roman"/>
                <w:sz w:val="24"/>
                <w:szCs w:val="24"/>
              </w:rPr>
              <w:t xml:space="preserve"> Zaměstnanci jsou se systémem řízení dostatečně seznamováni, aby jej mohli řádně implementovat.</w:t>
            </w:r>
          </w:p>
        </w:tc>
      </w:tr>
      <w:tr w:rsidR="00F378AD" w:rsidTr="005E613F">
        <w:tc>
          <w:tcPr>
            <w:tcW w:w="9212" w:type="dxa"/>
            <w:shd w:val="clear" w:color="auto" w:fill="DAFCDD"/>
          </w:tcPr>
          <w:p w:rsidR="00443CB3" w:rsidRPr="00B73BD7" w:rsidRDefault="00443CB3" w:rsidP="00035D27">
            <w:pPr>
              <w:pStyle w:val="Odstavecseseznamem"/>
              <w:numPr>
                <w:ilvl w:val="0"/>
                <w:numId w:val="1"/>
              </w:numPr>
              <w:spacing w:before="240" w:after="100" w:afterAutospacing="1"/>
              <w:ind w:left="284" w:hanging="284"/>
              <w:jc w:val="both"/>
              <w:rPr>
                <w:rFonts w:ascii="Times New Roman" w:hAnsi="Times New Roman" w:cs="Times New Roman"/>
                <w:b/>
                <w:sz w:val="24"/>
                <w:szCs w:val="24"/>
              </w:rPr>
            </w:pPr>
            <w:r w:rsidRPr="00B73BD7">
              <w:rPr>
                <w:rFonts w:ascii="Times New Roman" w:hAnsi="Times New Roman" w:cs="Times New Roman"/>
                <w:b/>
                <w:sz w:val="24"/>
                <w:szCs w:val="24"/>
              </w:rPr>
              <w:t>Otevřenost vůči veřejnosti</w:t>
            </w:r>
          </w:p>
          <w:p w:rsidR="00F378AD" w:rsidRPr="00443CB3" w:rsidRDefault="00443CB3" w:rsidP="00035D27">
            <w:pPr>
              <w:spacing w:before="240" w:after="100" w:afterAutospacing="1"/>
              <w:jc w:val="both"/>
              <w:rPr>
                <w:rFonts w:ascii="Times New Roman" w:hAnsi="Times New Roman" w:cs="Times New Roman"/>
                <w:sz w:val="24"/>
                <w:szCs w:val="24"/>
              </w:rPr>
            </w:pPr>
            <w:r w:rsidRPr="00B73BD7">
              <w:rPr>
                <w:rFonts w:ascii="Times New Roman" w:hAnsi="Times New Roman" w:cs="Times New Roman"/>
                <w:sz w:val="24"/>
                <w:szCs w:val="24"/>
              </w:rPr>
              <w:t xml:space="preserve">Otevřený přístup k veřejnosti je založen na široké a svobodné výměně informací rozšiřující především povědomí o významu a potřebnosti funkčního dozoru nad využíváním jaderné energie a ionizujícího záření, podávající pravdivý obraz o jejich regulaci. Úřad aktivně rozvíjí spolupráci s odbornou i laickou veřejností, počínaje tvorbou právních předpisů a konče zapojením do vzdělávacích a osvětových činností. </w:t>
            </w:r>
          </w:p>
        </w:tc>
      </w:tr>
      <w:tr w:rsidR="00F378AD" w:rsidTr="005E613F">
        <w:tc>
          <w:tcPr>
            <w:tcW w:w="9212" w:type="dxa"/>
            <w:shd w:val="clear" w:color="auto" w:fill="FBE9F1"/>
          </w:tcPr>
          <w:p w:rsidR="00443CB3" w:rsidRPr="00B73BD7" w:rsidRDefault="00443CB3" w:rsidP="00035D27">
            <w:pPr>
              <w:pStyle w:val="Odstavecseseznamem"/>
              <w:numPr>
                <w:ilvl w:val="0"/>
                <w:numId w:val="1"/>
              </w:numPr>
              <w:spacing w:before="240" w:after="100" w:afterAutospacing="1"/>
              <w:ind w:left="284" w:hanging="284"/>
              <w:jc w:val="both"/>
              <w:rPr>
                <w:rFonts w:ascii="Times New Roman" w:hAnsi="Times New Roman" w:cs="Times New Roman"/>
                <w:b/>
                <w:sz w:val="24"/>
                <w:szCs w:val="24"/>
              </w:rPr>
            </w:pPr>
            <w:r w:rsidRPr="00B73BD7">
              <w:rPr>
                <w:rFonts w:ascii="Times New Roman" w:hAnsi="Times New Roman" w:cs="Times New Roman"/>
                <w:b/>
                <w:sz w:val="24"/>
                <w:szCs w:val="24"/>
              </w:rPr>
              <w:t>Důvěra ve fungování dozoru</w:t>
            </w:r>
          </w:p>
          <w:p w:rsidR="00F378AD" w:rsidRDefault="00443CB3" w:rsidP="00035D27">
            <w:pPr>
              <w:spacing w:before="240" w:after="100" w:afterAutospacing="1"/>
              <w:jc w:val="both"/>
              <w:rPr>
                <w:rFonts w:ascii="Times New Roman" w:hAnsi="Times New Roman" w:cs="Times New Roman"/>
                <w:sz w:val="24"/>
                <w:szCs w:val="24"/>
              </w:rPr>
            </w:pPr>
            <w:r w:rsidRPr="00B73BD7">
              <w:rPr>
                <w:rFonts w:ascii="Times New Roman" w:hAnsi="Times New Roman" w:cs="Times New Roman"/>
                <w:sz w:val="24"/>
                <w:szCs w:val="24"/>
              </w:rPr>
              <w:t>Cílem je budovat instituci, které občané důvěřují, čehož se dosahuje mimo jiné dodržováním zákonnosti, jednotnosti a objektivity správních řízení, jejichž průběh a výsledek musí být objektivně srozumitelný a předvídatelný. Postupuje se bez zbytečných průtahů. Samozřejmostí je rovný přístup k dozorovaným osobám. Záměry a představy týkající se práce Úřadu jsou porovnávány s ohlasy dozorovaných osob, jejichž podněty jsou zdrojem zlepšování.</w:t>
            </w:r>
          </w:p>
          <w:p w:rsidR="008A7626" w:rsidRPr="00443CB3" w:rsidRDefault="008A7626" w:rsidP="00035D27">
            <w:pPr>
              <w:spacing w:before="240" w:after="100" w:afterAutospacing="1"/>
              <w:jc w:val="both"/>
              <w:rPr>
                <w:rFonts w:ascii="Times New Roman" w:hAnsi="Times New Roman" w:cs="Times New Roman"/>
                <w:sz w:val="24"/>
                <w:szCs w:val="24"/>
              </w:rPr>
            </w:pPr>
          </w:p>
        </w:tc>
      </w:tr>
      <w:tr w:rsidR="00F378AD" w:rsidTr="00B3788A">
        <w:tc>
          <w:tcPr>
            <w:tcW w:w="9212" w:type="dxa"/>
            <w:shd w:val="clear" w:color="auto" w:fill="FEB1A4"/>
          </w:tcPr>
          <w:p w:rsidR="000B5113" w:rsidRPr="00B73BD7" w:rsidRDefault="000B5113" w:rsidP="00035D27">
            <w:pPr>
              <w:pStyle w:val="Odstavecseseznamem"/>
              <w:numPr>
                <w:ilvl w:val="0"/>
                <w:numId w:val="1"/>
              </w:numPr>
              <w:spacing w:before="240" w:after="100" w:afterAutospacing="1"/>
              <w:ind w:left="284" w:hanging="284"/>
              <w:jc w:val="both"/>
              <w:rPr>
                <w:rFonts w:ascii="Times New Roman" w:hAnsi="Times New Roman" w:cs="Times New Roman"/>
                <w:b/>
                <w:sz w:val="24"/>
                <w:szCs w:val="24"/>
              </w:rPr>
            </w:pPr>
            <w:r w:rsidRPr="00B73BD7">
              <w:rPr>
                <w:rFonts w:ascii="Times New Roman" w:hAnsi="Times New Roman" w:cs="Times New Roman"/>
                <w:b/>
                <w:sz w:val="24"/>
                <w:szCs w:val="24"/>
              </w:rPr>
              <w:lastRenderedPageBreak/>
              <w:t>Odborná způsobilost a motivace zaměstnanců</w:t>
            </w:r>
          </w:p>
          <w:p w:rsidR="00F378AD" w:rsidRDefault="000B5113" w:rsidP="00035D27">
            <w:pPr>
              <w:spacing w:before="240" w:after="100" w:afterAutospacing="1"/>
              <w:jc w:val="both"/>
            </w:pPr>
            <w:r w:rsidRPr="00B73BD7">
              <w:rPr>
                <w:rFonts w:ascii="Times New Roman" w:hAnsi="Times New Roman" w:cs="Times New Roman"/>
                <w:sz w:val="24"/>
                <w:szCs w:val="24"/>
              </w:rPr>
              <w:t>Zaměstnanci jsou vedeni k práci ve shodě s právními předpisy a interními pravidly Úřadu. Jedním z cílů úřadu je předcházet možnému střetu zájmů, respektive zneužití úředního postavení, což je naplňováno zejména důsledným dodržováním Etického kodexu zaměstnanců SÚJB. Předpokládá se, že zaměstnanci dosahují vysoké odborné úrovně, kterou si průběžně prohlubují, a při plnění svých pracovních úkolů postupují s maximální mírou slušnosti a vstřícnosti. Pracovní podmínky jsou nastaveny tak, aby motivovaly zaměstnance k rozvoji pracovní iniciativy a efektivnímu výkonu. Úřad zajišťuje zaměstnancům dostupnost informací nezbytných k zajištění jejich činnosti.</w:t>
            </w:r>
          </w:p>
        </w:tc>
      </w:tr>
      <w:tr w:rsidR="00F378AD" w:rsidTr="00B3788A">
        <w:tc>
          <w:tcPr>
            <w:tcW w:w="9212" w:type="dxa"/>
            <w:shd w:val="clear" w:color="auto" w:fill="FFD1F3"/>
          </w:tcPr>
          <w:p w:rsidR="000B5113" w:rsidRPr="000B5113" w:rsidRDefault="000B5113" w:rsidP="00035D27">
            <w:pPr>
              <w:pStyle w:val="Odstavecseseznamem"/>
              <w:numPr>
                <w:ilvl w:val="0"/>
                <w:numId w:val="1"/>
              </w:numPr>
              <w:spacing w:before="240" w:after="100" w:afterAutospacing="1"/>
              <w:ind w:left="284" w:hanging="284"/>
              <w:jc w:val="both"/>
              <w:rPr>
                <w:rFonts w:ascii="Times New Roman" w:hAnsi="Times New Roman" w:cs="Times New Roman"/>
                <w:b/>
                <w:sz w:val="24"/>
                <w:szCs w:val="24"/>
              </w:rPr>
            </w:pPr>
            <w:r w:rsidRPr="00B73BD7">
              <w:rPr>
                <w:rFonts w:ascii="Times New Roman" w:hAnsi="Times New Roman" w:cs="Times New Roman"/>
                <w:b/>
                <w:sz w:val="24"/>
                <w:szCs w:val="24"/>
              </w:rPr>
              <w:t>Trvalé zlepšování</w:t>
            </w:r>
          </w:p>
          <w:p w:rsidR="00F378AD" w:rsidRPr="000B5113" w:rsidRDefault="000B5113" w:rsidP="00035D27">
            <w:pPr>
              <w:spacing w:before="240" w:after="100" w:afterAutospacing="1"/>
              <w:jc w:val="both"/>
              <w:rPr>
                <w:rFonts w:ascii="Times New Roman" w:hAnsi="Times New Roman" w:cs="Times New Roman"/>
                <w:sz w:val="24"/>
                <w:szCs w:val="24"/>
              </w:rPr>
            </w:pPr>
            <w:r w:rsidRPr="00B73BD7">
              <w:rPr>
                <w:rFonts w:ascii="Times New Roman" w:hAnsi="Times New Roman" w:cs="Times New Roman"/>
                <w:sz w:val="24"/>
                <w:szCs w:val="24"/>
              </w:rPr>
              <w:t xml:space="preserve">Cílem je trvalé zlepšování efektivity systému řízení Úřadu. Úřad vyhledává nejlepší praxi doma i v zahraničí. Průběžně analyzuje právní stav, administrativní postupy, pracovní výkony a dodržování principů nestrannosti a nezávislosti v rozhodování. Legislativa a návody vydávané Úřadem jsou udržovány na úrovni v současnosti dostupných a aplikovatelných vědeckých a technických poznatků. Vyhodnocují se podněty ke zlepšení práce Úřadu a posuzuje zpětná vazba z výkonu dozorné činnosti. Řídící rozhodnutí Úřadu jsou založena i na takto získaných poznatcích. Úřad stanoví cíle a programy zaměřené na plnění cílů, respektive neustálé zlepšování výkonu státního dozoru v rámci své působnosti, což je průběžně kontrolováno z hlediska Úřadu jako celku i jednotlivých útvarů a postupů. Systém řízení tvoří základ zajištění dlouhodobě kvalitní, efektivní a nestranné činnosti Úřadu. </w:t>
            </w:r>
          </w:p>
        </w:tc>
      </w:tr>
      <w:tr w:rsidR="00F378AD" w:rsidTr="008A7626">
        <w:tc>
          <w:tcPr>
            <w:tcW w:w="9212" w:type="dxa"/>
            <w:shd w:val="clear" w:color="auto" w:fill="FFFF61"/>
          </w:tcPr>
          <w:p w:rsidR="00F378AD" w:rsidRPr="004D1DFF" w:rsidRDefault="004D1DFF" w:rsidP="00035D27">
            <w:pPr>
              <w:pStyle w:val="Textparagrafu"/>
              <w:tabs>
                <w:tab w:val="left" w:pos="0"/>
              </w:tabs>
              <w:spacing w:before="240" w:after="100" w:afterAutospacing="1" w:line="276" w:lineRule="auto"/>
              <w:ind w:firstLine="0"/>
              <w:rPr>
                <w:b/>
                <w:sz w:val="24"/>
                <w:szCs w:val="24"/>
              </w:rPr>
            </w:pPr>
            <w:r w:rsidRPr="00B73BD7">
              <w:rPr>
                <w:b/>
                <w:sz w:val="24"/>
                <w:szCs w:val="24"/>
              </w:rPr>
              <w:t>Úřad se při své činnosti řídí a bude nadále řídit touto Politikou. Politika je živý dokument a bude podle potřeby měněna a upravována v souladu s požadavky na výkon regulace v oblasti působnosti Úřadu. Na tuto Politiku navazují každoroční priority Úřadu a navazující plány činností, které tuto Politiku rozpracovávají do dílčích cílů a nástrojů. Úřad se zavazuje důsledně naplňovat své poslání při výkonu státní správy a dozoru ve svěřené oblasti.</w:t>
            </w:r>
          </w:p>
        </w:tc>
      </w:tr>
      <w:tr w:rsidR="00F378AD" w:rsidTr="008A7626">
        <w:tc>
          <w:tcPr>
            <w:tcW w:w="9212" w:type="dxa"/>
            <w:shd w:val="clear" w:color="auto" w:fill="FFFF61"/>
          </w:tcPr>
          <w:p w:rsidR="004D1DFF" w:rsidRPr="00B73BD7" w:rsidRDefault="004D1DFF" w:rsidP="00035D27">
            <w:pPr>
              <w:pStyle w:val="Textparagrafu"/>
              <w:tabs>
                <w:tab w:val="left" w:pos="0"/>
              </w:tabs>
              <w:spacing w:before="240" w:after="100" w:afterAutospacing="1" w:line="276" w:lineRule="auto"/>
              <w:ind w:firstLine="0"/>
              <w:rPr>
                <w:b/>
                <w:sz w:val="24"/>
                <w:szCs w:val="24"/>
              </w:rPr>
            </w:pPr>
            <w:r>
              <w:rPr>
                <w:b/>
                <w:sz w:val="24"/>
                <w:szCs w:val="24"/>
              </w:rPr>
              <w:t>Tato P</w:t>
            </w:r>
            <w:r w:rsidRPr="00B73BD7">
              <w:rPr>
                <w:b/>
                <w:sz w:val="24"/>
                <w:szCs w:val="24"/>
              </w:rPr>
              <w:t>olitika byl</w:t>
            </w:r>
            <w:r>
              <w:rPr>
                <w:b/>
                <w:sz w:val="24"/>
                <w:szCs w:val="24"/>
              </w:rPr>
              <w:t>a schválena vedením Úřadu dne 30. října 2013</w:t>
            </w:r>
            <w:r w:rsidRPr="00B73BD7">
              <w:rPr>
                <w:b/>
                <w:sz w:val="24"/>
                <w:szCs w:val="24"/>
              </w:rPr>
              <w:t xml:space="preserve"> s přesvědčením, že bude pochopena a přijata vlastními zaměstnanci a veřejností.</w:t>
            </w:r>
          </w:p>
          <w:p w:rsidR="004D1DFF" w:rsidRPr="00B73BD7" w:rsidRDefault="004D1DFF" w:rsidP="00035D27">
            <w:pPr>
              <w:pStyle w:val="Textparagrafu"/>
              <w:tabs>
                <w:tab w:val="left" w:pos="0"/>
              </w:tabs>
              <w:spacing w:before="240" w:after="100" w:afterAutospacing="1" w:line="276" w:lineRule="auto"/>
              <w:ind w:firstLine="0"/>
              <w:rPr>
                <w:b/>
                <w:sz w:val="24"/>
                <w:szCs w:val="24"/>
              </w:rPr>
            </w:pPr>
          </w:p>
          <w:p w:rsidR="004D1DFF" w:rsidRPr="00B73BD7" w:rsidRDefault="004D1DFF" w:rsidP="00035D27">
            <w:pPr>
              <w:pStyle w:val="Textparagrafu"/>
              <w:spacing w:before="240" w:after="100" w:afterAutospacing="1" w:line="276" w:lineRule="auto"/>
              <w:ind w:left="4536" w:firstLine="0"/>
              <w:jc w:val="center"/>
              <w:rPr>
                <w:b/>
                <w:sz w:val="24"/>
                <w:szCs w:val="24"/>
              </w:rPr>
            </w:pPr>
            <w:r w:rsidRPr="00B73BD7">
              <w:rPr>
                <w:b/>
                <w:sz w:val="24"/>
                <w:szCs w:val="24"/>
              </w:rPr>
              <w:t>Ing. Dana Drábová, Ph.D</w:t>
            </w:r>
          </w:p>
          <w:p w:rsidR="004D1DFF" w:rsidRDefault="004D1DFF" w:rsidP="00035D27">
            <w:pPr>
              <w:pStyle w:val="Textparagrafu"/>
              <w:spacing w:before="240" w:after="100" w:afterAutospacing="1" w:line="276" w:lineRule="auto"/>
              <w:ind w:left="4536" w:firstLine="0"/>
              <w:jc w:val="center"/>
              <w:rPr>
                <w:b/>
                <w:sz w:val="24"/>
                <w:szCs w:val="24"/>
              </w:rPr>
            </w:pPr>
            <w:r w:rsidRPr="00B73BD7">
              <w:rPr>
                <w:b/>
                <w:sz w:val="24"/>
                <w:szCs w:val="24"/>
              </w:rPr>
              <w:t>předsedkyně Úřadu</w:t>
            </w:r>
          </w:p>
          <w:p w:rsidR="00F378AD" w:rsidRDefault="00F378AD" w:rsidP="00035D27">
            <w:pPr>
              <w:spacing w:before="240" w:after="100" w:afterAutospacing="1"/>
            </w:pPr>
          </w:p>
        </w:tc>
      </w:tr>
    </w:tbl>
    <w:p w:rsidR="005B5434" w:rsidRDefault="00485A2D" w:rsidP="00035D27">
      <w:pPr>
        <w:spacing w:before="240" w:after="100" w:afterAutospacing="1"/>
      </w:pPr>
    </w:p>
    <w:sectPr w:rsidR="005B54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2D" w:rsidRDefault="00485A2D" w:rsidP="005B4C21">
      <w:pPr>
        <w:spacing w:after="0" w:line="240" w:lineRule="auto"/>
      </w:pPr>
      <w:r>
        <w:separator/>
      </w:r>
    </w:p>
  </w:endnote>
  <w:endnote w:type="continuationSeparator" w:id="0">
    <w:p w:rsidR="00485A2D" w:rsidRDefault="00485A2D" w:rsidP="005B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2D" w:rsidRDefault="00485A2D" w:rsidP="005B4C21">
      <w:pPr>
        <w:spacing w:after="0" w:line="240" w:lineRule="auto"/>
      </w:pPr>
      <w:r>
        <w:separator/>
      </w:r>
    </w:p>
  </w:footnote>
  <w:footnote w:type="continuationSeparator" w:id="0">
    <w:p w:rsidR="00485A2D" w:rsidRDefault="00485A2D" w:rsidP="005B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21" w:rsidRPr="005B4C21" w:rsidRDefault="005B4C21">
    <w:pPr>
      <w:pStyle w:val="Zhlav"/>
      <w:rPr>
        <w:sz w:val="24"/>
        <w:szCs w:val="24"/>
      </w:rPr>
    </w:pPr>
    <w:proofErr w:type="gramStart"/>
    <w:r w:rsidRPr="005B4C21">
      <w:rPr>
        <w:sz w:val="24"/>
        <w:szCs w:val="24"/>
      </w:rPr>
      <w:t>Č.j.</w:t>
    </w:r>
    <w:proofErr w:type="gramEnd"/>
    <w:r w:rsidRPr="005B4C21">
      <w:rPr>
        <w:sz w:val="24"/>
        <w:szCs w:val="24"/>
      </w:rPr>
      <w:t>: SÚJB/ŘTP/23703/2013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07E2"/>
    <w:multiLevelType w:val="hybridMultilevel"/>
    <w:tmpl w:val="F96AF6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AD"/>
    <w:rsid w:val="00035D27"/>
    <w:rsid w:val="000B2ECD"/>
    <w:rsid w:val="000B5113"/>
    <w:rsid w:val="0044344D"/>
    <w:rsid w:val="00443CB3"/>
    <w:rsid w:val="004757B2"/>
    <w:rsid w:val="00485A2D"/>
    <w:rsid w:val="004D1DFF"/>
    <w:rsid w:val="004E54C7"/>
    <w:rsid w:val="005B4C21"/>
    <w:rsid w:val="005D13D8"/>
    <w:rsid w:val="005E613F"/>
    <w:rsid w:val="00645913"/>
    <w:rsid w:val="00712383"/>
    <w:rsid w:val="00816DDB"/>
    <w:rsid w:val="008A7626"/>
    <w:rsid w:val="00A05B14"/>
    <w:rsid w:val="00A130DD"/>
    <w:rsid w:val="00AE3E05"/>
    <w:rsid w:val="00B3788A"/>
    <w:rsid w:val="00B905E2"/>
    <w:rsid w:val="00BA5175"/>
    <w:rsid w:val="00CE3863"/>
    <w:rsid w:val="00ED65CE"/>
    <w:rsid w:val="00F37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8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37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378AD"/>
    <w:pPr>
      <w:ind w:left="720"/>
      <w:contextualSpacing/>
    </w:pPr>
  </w:style>
  <w:style w:type="paragraph" w:customStyle="1" w:styleId="Textparagrafu">
    <w:name w:val="Text paragrafu"/>
    <w:basedOn w:val="Normln"/>
    <w:rsid w:val="004D1DFF"/>
    <w:pPr>
      <w:spacing w:after="120" w:line="240" w:lineRule="auto"/>
      <w:ind w:firstLine="340"/>
      <w:jc w:val="both"/>
    </w:pPr>
    <w:rPr>
      <w:rFonts w:ascii="Times New Roman" w:hAnsi="Times New Roman" w:cs="Times New Roman"/>
      <w:sz w:val="20"/>
      <w:szCs w:val="20"/>
      <w:lang w:eastAsia="cs-CZ"/>
    </w:rPr>
  </w:style>
  <w:style w:type="paragraph" w:styleId="Zhlav">
    <w:name w:val="header"/>
    <w:basedOn w:val="Normln"/>
    <w:link w:val="ZhlavChar"/>
    <w:uiPriority w:val="99"/>
    <w:unhideWhenUsed/>
    <w:rsid w:val="005B4C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4C21"/>
  </w:style>
  <w:style w:type="paragraph" w:styleId="Zpat">
    <w:name w:val="footer"/>
    <w:basedOn w:val="Normln"/>
    <w:link w:val="ZpatChar"/>
    <w:uiPriority w:val="99"/>
    <w:unhideWhenUsed/>
    <w:rsid w:val="005B4C21"/>
    <w:pPr>
      <w:tabs>
        <w:tab w:val="center" w:pos="4536"/>
        <w:tab w:val="right" w:pos="9072"/>
      </w:tabs>
      <w:spacing w:after="0" w:line="240" w:lineRule="auto"/>
    </w:pPr>
  </w:style>
  <w:style w:type="character" w:customStyle="1" w:styleId="ZpatChar">
    <w:name w:val="Zápatí Char"/>
    <w:basedOn w:val="Standardnpsmoodstavce"/>
    <w:link w:val="Zpat"/>
    <w:uiPriority w:val="99"/>
    <w:rsid w:val="005B4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8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37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378AD"/>
    <w:pPr>
      <w:ind w:left="720"/>
      <w:contextualSpacing/>
    </w:pPr>
  </w:style>
  <w:style w:type="paragraph" w:customStyle="1" w:styleId="Textparagrafu">
    <w:name w:val="Text paragrafu"/>
    <w:basedOn w:val="Normln"/>
    <w:rsid w:val="004D1DFF"/>
    <w:pPr>
      <w:spacing w:after="120" w:line="240" w:lineRule="auto"/>
      <w:ind w:firstLine="340"/>
      <w:jc w:val="both"/>
    </w:pPr>
    <w:rPr>
      <w:rFonts w:ascii="Times New Roman" w:hAnsi="Times New Roman" w:cs="Times New Roman"/>
      <w:sz w:val="20"/>
      <w:szCs w:val="20"/>
      <w:lang w:eastAsia="cs-CZ"/>
    </w:rPr>
  </w:style>
  <w:style w:type="paragraph" w:styleId="Zhlav">
    <w:name w:val="header"/>
    <w:basedOn w:val="Normln"/>
    <w:link w:val="ZhlavChar"/>
    <w:uiPriority w:val="99"/>
    <w:unhideWhenUsed/>
    <w:rsid w:val="005B4C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4C21"/>
  </w:style>
  <w:style w:type="paragraph" w:styleId="Zpat">
    <w:name w:val="footer"/>
    <w:basedOn w:val="Normln"/>
    <w:link w:val="ZpatChar"/>
    <w:uiPriority w:val="99"/>
    <w:unhideWhenUsed/>
    <w:rsid w:val="005B4C21"/>
    <w:pPr>
      <w:tabs>
        <w:tab w:val="center" w:pos="4536"/>
        <w:tab w:val="right" w:pos="9072"/>
      </w:tabs>
      <w:spacing w:after="0" w:line="240" w:lineRule="auto"/>
    </w:pPr>
  </w:style>
  <w:style w:type="character" w:customStyle="1" w:styleId="ZpatChar">
    <w:name w:val="Zápatí Char"/>
    <w:basedOn w:val="Standardnpsmoodstavce"/>
    <w:link w:val="Zpat"/>
    <w:uiPriority w:val="99"/>
    <w:rsid w:val="005B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4240</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 Kochanek</dc:creator>
  <cp:lastModifiedBy>Kollárová Darina</cp:lastModifiedBy>
  <cp:revision>3</cp:revision>
  <dcterms:created xsi:type="dcterms:W3CDTF">2013-10-25T07:14:00Z</dcterms:created>
  <dcterms:modified xsi:type="dcterms:W3CDTF">2013-10-30T11:48:00Z</dcterms:modified>
</cp:coreProperties>
</file>